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0B74B" w14:textId="77777777" w:rsidR="00101794" w:rsidRDefault="00101794" w:rsidP="00101794">
      <w:pPr>
        <w:spacing w:before="66" w:after="200"/>
        <w:ind w:left="-142" w:right="-164"/>
        <w:jc w:val="center"/>
        <w:rPr>
          <w:b/>
          <w:sz w:val="36"/>
          <w:szCs w:val="36"/>
        </w:rPr>
      </w:pPr>
    </w:p>
    <w:p w14:paraId="20327ECF" w14:textId="6C67EA44" w:rsidR="00101794" w:rsidRDefault="009A7B95" w:rsidP="00101794">
      <w:pPr>
        <w:spacing w:before="66" w:after="200"/>
        <w:ind w:left="-142" w:right="-164"/>
        <w:jc w:val="center"/>
        <w:rPr>
          <w:rFonts w:ascii="Verdana" w:hAnsi="Verdana"/>
          <w:b/>
          <w:sz w:val="28"/>
          <w:szCs w:val="36"/>
        </w:rPr>
      </w:pPr>
      <w:r w:rsidRPr="00525DCB">
        <w:rPr>
          <w:b/>
          <w:noProof/>
          <w:sz w:val="36"/>
          <w:szCs w:val="36"/>
        </w:rPr>
        <w:drawing>
          <wp:inline distT="0" distB="0" distL="0" distR="0" wp14:anchorId="69932CE9" wp14:editId="4E2ECA60">
            <wp:extent cx="819150" cy="609600"/>
            <wp:effectExtent l="0" t="0" r="0" b="0"/>
            <wp:docPr id="1" name="Picture 1" descr="C:\Users\baikakaji\Desktop\DPT LAPTOP\IPO Related\12. Policies\LOGO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ikakaji\Desktop\DPT LAPTOP\IPO Related\12. Policies\LOGO 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inline>
        </w:drawing>
      </w:r>
    </w:p>
    <w:p w14:paraId="705CCC89" w14:textId="534332A1" w:rsidR="00101794" w:rsidRDefault="009A7B95" w:rsidP="00101794">
      <w:pPr>
        <w:tabs>
          <w:tab w:val="left" w:pos="3570"/>
        </w:tabs>
        <w:spacing w:before="66" w:after="200"/>
        <w:ind w:left="-142" w:right="-164"/>
        <w:jc w:val="center"/>
        <w:rPr>
          <w:b/>
          <w:sz w:val="36"/>
          <w:szCs w:val="36"/>
        </w:rPr>
      </w:pPr>
      <w:r w:rsidRPr="00525DCB">
        <w:rPr>
          <w:b/>
          <w:noProof/>
          <w:sz w:val="36"/>
          <w:szCs w:val="36"/>
        </w:rPr>
        <w:drawing>
          <wp:inline distT="0" distB="0" distL="0" distR="0" wp14:anchorId="53FA2021" wp14:editId="3DAF836E">
            <wp:extent cx="5941060" cy="1635826"/>
            <wp:effectExtent l="0" t="0" r="0" b="0"/>
            <wp:docPr id="2" name="Picture 2" descr="C:\Users\baikakaji\Desktop\DPT LAPTOP\IPO Related\12. Policies\BKPL Nam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ikakaji\Desktop\DPT LAPTOP\IPO Related\12. Policies\BKPL Nam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1635826"/>
                    </a:xfrm>
                    <a:prstGeom prst="rect">
                      <a:avLst/>
                    </a:prstGeom>
                    <a:noFill/>
                    <a:ln>
                      <a:noFill/>
                    </a:ln>
                  </pic:spPr>
                </pic:pic>
              </a:graphicData>
            </a:graphic>
          </wp:inline>
        </w:drawing>
      </w:r>
    </w:p>
    <w:p w14:paraId="331F8900" w14:textId="3B8E7B60" w:rsidR="00101794" w:rsidRDefault="00101794" w:rsidP="00101794">
      <w:pPr>
        <w:tabs>
          <w:tab w:val="left" w:pos="3570"/>
        </w:tabs>
        <w:spacing w:before="66" w:after="200"/>
        <w:ind w:left="-142" w:right="-164"/>
        <w:jc w:val="center"/>
        <w:rPr>
          <w:b/>
          <w:sz w:val="36"/>
          <w:szCs w:val="36"/>
        </w:rPr>
      </w:pPr>
    </w:p>
    <w:p w14:paraId="5BD787C2" w14:textId="77777777" w:rsidR="00101794" w:rsidRPr="00A865F3" w:rsidRDefault="00101794" w:rsidP="00101794">
      <w:pPr>
        <w:spacing w:before="66" w:after="200"/>
        <w:ind w:left="-142" w:right="-164"/>
        <w:jc w:val="center"/>
        <w:rPr>
          <w:rFonts w:ascii="Times New Roman" w:hAnsi="Times New Roman" w:cs="Times New Roman"/>
          <w:b/>
          <w:bCs/>
          <w:u w:val="single"/>
        </w:rPr>
      </w:pPr>
      <w:r w:rsidRPr="00101794">
        <w:rPr>
          <w:rFonts w:ascii="Times New Roman" w:hAnsi="Times New Roman" w:cs="Times New Roman"/>
          <w:b/>
          <w:sz w:val="36"/>
          <w:szCs w:val="36"/>
          <w:u w:val="single"/>
        </w:rPr>
        <w:t>NOMINATION AND REMUNEERATION POLICY</w:t>
      </w:r>
    </w:p>
    <w:p w14:paraId="7680179B" w14:textId="77777777" w:rsidR="00101794" w:rsidRPr="00A865F3" w:rsidRDefault="00101794" w:rsidP="00101794">
      <w:pPr>
        <w:spacing w:before="66" w:after="200"/>
        <w:ind w:left="-142" w:right="-164"/>
        <w:rPr>
          <w:rFonts w:ascii="Times New Roman" w:hAnsi="Times New Roman" w:cs="Times New Roman"/>
          <w:b/>
          <w:bCs/>
          <w:u w:val="single"/>
        </w:rPr>
      </w:pPr>
      <w:r w:rsidRPr="00D11094">
        <w:rPr>
          <w:rFonts w:ascii="Times New Roman" w:hAnsi="Times New Roman" w:cs="Times New Roman"/>
          <w:b/>
          <w:bCs/>
          <w:u w:val="single"/>
        </w:rPr>
        <w:br w:type="page"/>
      </w:r>
    </w:p>
    <w:p w14:paraId="2B16985C" w14:textId="6A190094" w:rsidR="00C82A2B" w:rsidRPr="00943BC6" w:rsidRDefault="001530B1" w:rsidP="00101794">
      <w:pPr>
        <w:pStyle w:val="Heading4"/>
        <w:tabs>
          <w:tab w:val="left" w:pos="10773"/>
        </w:tabs>
        <w:spacing w:before="66" w:after="200"/>
        <w:ind w:left="-142" w:right="-164" w:firstLine="0"/>
        <w:jc w:val="center"/>
        <w:rPr>
          <w:rFonts w:ascii="Times New Roman" w:hAnsi="Times New Roman" w:cs="Times New Roman"/>
          <w:w w:val="105"/>
          <w:sz w:val="24"/>
          <w:szCs w:val="22"/>
        </w:rPr>
      </w:pPr>
      <w:r w:rsidRPr="00943BC6">
        <w:rPr>
          <w:rFonts w:ascii="Times New Roman" w:hAnsi="Times New Roman" w:cs="Times New Roman"/>
          <w:w w:val="105"/>
          <w:sz w:val="24"/>
          <w:szCs w:val="22"/>
        </w:rPr>
        <w:lastRenderedPageBreak/>
        <w:t>NOMINATION AND REMUN</w:t>
      </w:r>
      <w:r w:rsidR="00FE578E">
        <w:rPr>
          <w:rFonts w:ascii="Times New Roman" w:hAnsi="Times New Roman" w:cs="Times New Roman"/>
          <w:w w:val="105"/>
          <w:sz w:val="24"/>
          <w:szCs w:val="22"/>
        </w:rPr>
        <w:t>E</w:t>
      </w:r>
      <w:r w:rsidRPr="00943BC6">
        <w:rPr>
          <w:rFonts w:ascii="Times New Roman" w:hAnsi="Times New Roman" w:cs="Times New Roman"/>
          <w:w w:val="105"/>
          <w:sz w:val="24"/>
          <w:szCs w:val="22"/>
        </w:rPr>
        <w:t>RATION POLICY</w:t>
      </w:r>
    </w:p>
    <w:p w14:paraId="1CDFCF6D" w14:textId="77777777" w:rsidR="0005648B" w:rsidRPr="00943BC6" w:rsidRDefault="001530B1" w:rsidP="00101794">
      <w:pPr>
        <w:pStyle w:val="Heading4"/>
        <w:tabs>
          <w:tab w:val="left" w:pos="10773"/>
        </w:tabs>
        <w:spacing w:before="66" w:after="200"/>
        <w:ind w:left="-142" w:right="-164" w:firstLine="0"/>
        <w:jc w:val="center"/>
        <w:rPr>
          <w:rFonts w:ascii="Times New Roman" w:hAnsi="Times New Roman" w:cs="Times New Roman"/>
          <w:w w:val="105"/>
          <w:szCs w:val="22"/>
        </w:rPr>
      </w:pPr>
      <w:r w:rsidRPr="00943BC6">
        <w:rPr>
          <w:rFonts w:ascii="Times New Roman" w:hAnsi="Times New Roman" w:cs="Times New Roman"/>
          <w:w w:val="105"/>
          <w:szCs w:val="22"/>
        </w:rPr>
        <w:t>(TERM OF REFERENCE, PROCEDURE AND POLICIES)</w:t>
      </w:r>
    </w:p>
    <w:p w14:paraId="51253F72" w14:textId="17D050B9" w:rsidR="00C82A2B" w:rsidRPr="00EF5517" w:rsidRDefault="00943BC6" w:rsidP="00101794">
      <w:pPr>
        <w:pStyle w:val="BodyText"/>
        <w:tabs>
          <w:tab w:val="left" w:pos="10773"/>
        </w:tabs>
        <w:spacing w:before="66" w:after="200"/>
        <w:ind w:left="-142" w:right="-164"/>
        <w:jc w:val="both"/>
        <w:rPr>
          <w:rFonts w:ascii="Times New Roman" w:hAnsi="Times New Roman" w:cs="Times New Roman"/>
          <w:b/>
          <w:sz w:val="22"/>
          <w:szCs w:val="22"/>
        </w:rPr>
      </w:pPr>
      <w:r w:rsidRPr="00EF5517">
        <w:rPr>
          <w:rFonts w:ascii="Times New Roman" w:hAnsi="Times New Roman" w:cs="Times New Roman"/>
          <w:b/>
          <w:sz w:val="22"/>
          <w:szCs w:val="22"/>
        </w:rPr>
        <w:t>BACKGROUND</w:t>
      </w:r>
    </w:p>
    <w:p w14:paraId="1F5DC2F9" w14:textId="6A4A51F8" w:rsidR="00943BC6" w:rsidRPr="00EF5517" w:rsidRDefault="00943BC6" w:rsidP="00943BC6">
      <w:pPr>
        <w:pStyle w:val="BodyText"/>
        <w:tabs>
          <w:tab w:val="left" w:pos="10773"/>
        </w:tabs>
        <w:spacing w:before="66" w:after="200"/>
        <w:ind w:left="-142" w:right="-164"/>
        <w:jc w:val="both"/>
        <w:rPr>
          <w:rFonts w:ascii="Times New Roman" w:hAnsi="Times New Roman" w:cs="Times New Roman"/>
          <w:sz w:val="22"/>
          <w:szCs w:val="22"/>
        </w:rPr>
      </w:pPr>
      <w:r w:rsidRPr="00EF5517">
        <w:rPr>
          <w:rFonts w:ascii="Times New Roman" w:hAnsi="Times New Roman" w:cs="Times New Roman"/>
          <w:sz w:val="22"/>
          <w:szCs w:val="22"/>
        </w:rPr>
        <w:t xml:space="preserve">Nomination and Remuneration Policy (“Policy”) of </w:t>
      </w:r>
      <w:r w:rsidR="009A7B95" w:rsidRPr="009A7B95">
        <w:rPr>
          <w:rFonts w:ascii="Times New Roman" w:eastAsia="Times New Roman" w:hAnsi="Times New Roman" w:cs="Times New Roman"/>
          <w:b/>
          <w:sz w:val="22"/>
          <w:szCs w:val="22"/>
        </w:rPr>
        <w:t>BAI-KAKAJI POLYMERS LIMITED</w:t>
      </w:r>
      <w:r w:rsidR="001266AB">
        <w:rPr>
          <w:rFonts w:ascii="Times New Roman" w:hAnsi="Times New Roman" w:cs="Times New Roman"/>
          <w:b/>
          <w:sz w:val="22"/>
          <w:szCs w:val="22"/>
        </w:rPr>
        <w:t xml:space="preserve"> </w:t>
      </w:r>
      <w:r w:rsidRPr="00EF5517">
        <w:rPr>
          <w:rFonts w:ascii="Times New Roman" w:hAnsi="Times New Roman" w:cs="Times New Roman"/>
          <w:sz w:val="22"/>
          <w:szCs w:val="22"/>
        </w:rPr>
        <w:t xml:space="preserve">is being formulated in terms of Section 178 of the Companies Act, 2013 </w:t>
      </w:r>
      <w:r w:rsidRPr="00EF5517">
        <w:rPr>
          <w:rFonts w:ascii="Times New Roman" w:hAnsi="Times New Roman" w:cs="Times New Roman"/>
          <w:i/>
          <w:sz w:val="22"/>
          <w:szCs w:val="22"/>
        </w:rPr>
        <w:t>(“the Act”)</w:t>
      </w:r>
      <w:r w:rsidRPr="00EF5517">
        <w:rPr>
          <w:rFonts w:ascii="Times New Roman" w:hAnsi="Times New Roman" w:cs="Times New Roman"/>
          <w:sz w:val="22"/>
          <w:szCs w:val="22"/>
        </w:rPr>
        <w:t xml:space="preserve"> read with Part D of Schedule II of Securities and Exchange Board of India (Listing Obligations an Requirements) Regulations, 2015 </w:t>
      </w:r>
      <w:r w:rsidRPr="00EF5517">
        <w:rPr>
          <w:rFonts w:ascii="Times New Roman" w:hAnsi="Times New Roman" w:cs="Times New Roman"/>
          <w:i/>
          <w:sz w:val="22"/>
          <w:szCs w:val="22"/>
        </w:rPr>
        <w:t>(“Listing Regulation”)</w:t>
      </w:r>
      <w:r w:rsidRPr="00EF5517">
        <w:rPr>
          <w:rFonts w:ascii="Times New Roman" w:hAnsi="Times New Roman" w:cs="Times New Roman"/>
          <w:sz w:val="22"/>
          <w:szCs w:val="22"/>
        </w:rPr>
        <w:t>, as amended from time to time.</w:t>
      </w:r>
    </w:p>
    <w:p w14:paraId="42371F1A" w14:textId="5478A874" w:rsidR="00943BC6" w:rsidRPr="00EF5517" w:rsidRDefault="00943BC6" w:rsidP="00943BC6">
      <w:pPr>
        <w:pStyle w:val="BodyText"/>
        <w:tabs>
          <w:tab w:val="left" w:pos="10773"/>
        </w:tabs>
        <w:spacing w:before="66" w:after="200"/>
        <w:ind w:left="-142" w:right="-164"/>
        <w:jc w:val="both"/>
        <w:rPr>
          <w:rFonts w:ascii="Times New Roman" w:hAnsi="Times New Roman" w:cs="Times New Roman"/>
          <w:sz w:val="22"/>
          <w:szCs w:val="22"/>
        </w:rPr>
      </w:pPr>
      <w:r w:rsidRPr="00EF5517">
        <w:rPr>
          <w:rFonts w:ascii="Times New Roman" w:hAnsi="Times New Roman" w:cs="Times New Roman"/>
          <w:sz w:val="22"/>
          <w:szCs w:val="22"/>
        </w:rPr>
        <w:t xml:space="preserve">This Policy on nomination and remuneration of Directors, Key Managerial Personnel (KMP) and Senior Management Personnel </w:t>
      </w:r>
      <w:r w:rsidR="00A67BF9" w:rsidRPr="00EF5517">
        <w:rPr>
          <w:rFonts w:ascii="Times New Roman" w:hAnsi="Times New Roman" w:cs="Times New Roman"/>
          <w:sz w:val="22"/>
          <w:szCs w:val="22"/>
        </w:rPr>
        <w:t xml:space="preserve">and other employees </w:t>
      </w:r>
      <w:r w:rsidRPr="00EF5517">
        <w:rPr>
          <w:rFonts w:ascii="Times New Roman" w:hAnsi="Times New Roman" w:cs="Times New Roman"/>
          <w:sz w:val="22"/>
          <w:szCs w:val="22"/>
        </w:rPr>
        <w:t xml:space="preserve">has been formulated by the Nomination and Remuneration Committee (“the Committee”) </w:t>
      </w:r>
      <w:r w:rsidR="00A67BF9" w:rsidRPr="00EF5517">
        <w:rPr>
          <w:rFonts w:ascii="Times New Roman" w:hAnsi="Times New Roman" w:cs="Times New Roman"/>
          <w:sz w:val="22"/>
          <w:szCs w:val="22"/>
        </w:rPr>
        <w:t>which</w:t>
      </w:r>
      <w:r w:rsidRPr="00EF5517">
        <w:rPr>
          <w:rFonts w:ascii="Times New Roman" w:hAnsi="Times New Roman" w:cs="Times New Roman"/>
          <w:sz w:val="22"/>
          <w:szCs w:val="22"/>
        </w:rPr>
        <w:t xml:space="preserve"> shall act as a guideline for determining, inter alia, qualifications, positive attributes and independence of a Director, matters relating to the remuneration, appointment, removal and evaluation of performance of the Directors, Key Managerial Personnel, Senior Management</w:t>
      </w:r>
      <w:r w:rsidR="00A67BF9" w:rsidRPr="00EF5517">
        <w:rPr>
          <w:rFonts w:ascii="Times New Roman" w:hAnsi="Times New Roman" w:cs="Times New Roman"/>
          <w:sz w:val="22"/>
          <w:szCs w:val="22"/>
        </w:rPr>
        <w:t xml:space="preserve"> and other employees</w:t>
      </w:r>
      <w:r w:rsidRPr="00EF5517">
        <w:rPr>
          <w:rFonts w:ascii="Times New Roman" w:hAnsi="Times New Roman" w:cs="Times New Roman"/>
          <w:sz w:val="22"/>
          <w:szCs w:val="22"/>
        </w:rPr>
        <w:t>.</w:t>
      </w:r>
    </w:p>
    <w:p w14:paraId="33E34794" w14:textId="7B2619B2" w:rsidR="00A67BF9" w:rsidRPr="00EF5517" w:rsidRDefault="00A67BF9" w:rsidP="00943BC6">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t>OBJECTIVE</w:t>
      </w:r>
    </w:p>
    <w:p w14:paraId="777337CF" w14:textId="77777777" w:rsidR="00A67BF9" w:rsidRPr="00EF5517" w:rsidRDefault="00A67BF9" w:rsidP="00A67BF9">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sz w:val="22"/>
          <w:szCs w:val="22"/>
        </w:rPr>
        <w:t xml:space="preserve">The objective of the </w:t>
      </w:r>
      <w:r w:rsidRPr="00EF5517">
        <w:rPr>
          <w:rFonts w:ascii="Times New Roman" w:hAnsi="Times New Roman" w:cs="Times New Roman"/>
          <w:w w:val="105"/>
          <w:sz w:val="22"/>
          <w:szCs w:val="22"/>
        </w:rPr>
        <w:t>policy is as under:</w:t>
      </w:r>
    </w:p>
    <w:p w14:paraId="1A30EDBF" w14:textId="301E509F" w:rsidR="00A67BF9" w:rsidRPr="00EF5517" w:rsidRDefault="00A67BF9" w:rsidP="00A67BF9">
      <w:pPr>
        <w:pStyle w:val="BodyText"/>
        <w:numPr>
          <w:ilvl w:val="0"/>
          <w:numId w:val="11"/>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To formulate the criteria for determining qualifications, competencies, positive attributes and independence for recommendation of appointment of a director (executive/ non‐executive/ independent) to the Board ; and</w:t>
      </w:r>
    </w:p>
    <w:p w14:paraId="621D8171" w14:textId="41577936" w:rsidR="00A67BF9" w:rsidRPr="00EF5517" w:rsidRDefault="00A67BF9" w:rsidP="00A67BF9">
      <w:pPr>
        <w:pStyle w:val="BodyText"/>
        <w:numPr>
          <w:ilvl w:val="0"/>
          <w:numId w:val="11"/>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To specify the manner for effective evaluation of performance of Board, </w:t>
      </w:r>
      <w:proofErr w:type="gramStart"/>
      <w:r w:rsidRPr="00EF5517">
        <w:rPr>
          <w:rFonts w:ascii="Times New Roman" w:hAnsi="Times New Roman" w:cs="Times New Roman"/>
          <w:w w:val="105"/>
          <w:sz w:val="22"/>
          <w:szCs w:val="22"/>
        </w:rPr>
        <w:t>its</w:t>
      </w:r>
      <w:proofErr w:type="gramEnd"/>
      <w:r w:rsidRPr="00EF5517">
        <w:rPr>
          <w:rFonts w:ascii="Times New Roman" w:hAnsi="Times New Roman" w:cs="Times New Roman"/>
          <w:w w:val="105"/>
          <w:sz w:val="22"/>
          <w:szCs w:val="22"/>
        </w:rPr>
        <w:t xml:space="preserve"> Committees, Individual Directors, to be carried out either by the Board, the Committee, or by an Independent external agency and review its implementation and compliance.</w:t>
      </w:r>
    </w:p>
    <w:p w14:paraId="20FBA9B7" w14:textId="36F711DF" w:rsidR="00A67BF9" w:rsidRPr="00EF5517" w:rsidRDefault="00A67BF9" w:rsidP="00A67BF9">
      <w:pPr>
        <w:pStyle w:val="BodyText"/>
        <w:numPr>
          <w:ilvl w:val="0"/>
          <w:numId w:val="11"/>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To recommend policy relating to the remuneration of the Directors, KMP and other employees to the Board of Directors of the Company </w:t>
      </w:r>
      <w:r w:rsidRPr="00EF5517">
        <w:rPr>
          <w:rFonts w:ascii="Times New Roman" w:hAnsi="Times New Roman" w:cs="Times New Roman"/>
          <w:i/>
          <w:w w:val="105"/>
          <w:sz w:val="22"/>
          <w:szCs w:val="22"/>
        </w:rPr>
        <w:t>("Board")</w:t>
      </w:r>
      <w:r w:rsidRPr="00EF5517">
        <w:rPr>
          <w:rFonts w:ascii="Times New Roman" w:hAnsi="Times New Roman" w:cs="Times New Roman"/>
          <w:w w:val="105"/>
          <w:sz w:val="22"/>
          <w:szCs w:val="22"/>
        </w:rPr>
        <w:t>.</w:t>
      </w:r>
    </w:p>
    <w:p w14:paraId="71AA86E7" w14:textId="68EE1BCF" w:rsidR="00A67BF9" w:rsidRPr="00EF5517" w:rsidRDefault="00A67BF9" w:rsidP="00A67BF9">
      <w:pPr>
        <w:pStyle w:val="BodyText"/>
        <w:tabs>
          <w:tab w:val="left" w:pos="10773"/>
        </w:tabs>
        <w:spacing w:before="66" w:after="200" w:line="249" w:lineRule="auto"/>
        <w:ind w:left="-142" w:right="-164"/>
        <w:jc w:val="both"/>
        <w:rPr>
          <w:rFonts w:ascii="Times New Roman" w:hAnsi="Times New Roman"/>
          <w:sz w:val="22"/>
          <w:szCs w:val="22"/>
        </w:rPr>
      </w:pPr>
      <w:r w:rsidRPr="00EF5517">
        <w:rPr>
          <w:rFonts w:ascii="Times New Roman" w:hAnsi="Times New Roman" w:cs="Times New Roman"/>
          <w:w w:val="105"/>
          <w:sz w:val="22"/>
          <w:szCs w:val="22"/>
        </w:rPr>
        <w:t>This includes reviewing and approving corporate goals and objectives relevant to the compensation of the Executive Directors, evaluating their performance in light of those goals and objectives and either as a committee or together with the other Independent Directors (as directed by the Board), determine and approve Executive Directors' compensation based on such evaluation; making recommendations to the Board with respect to KMPs and Senior Management Personnel compensation and recommending incentive‐ compensation and equity‐based plans</w:t>
      </w:r>
      <w:r w:rsidRPr="00EF5517">
        <w:rPr>
          <w:rFonts w:ascii="Times New Roman" w:hAnsi="Times New Roman"/>
          <w:sz w:val="22"/>
          <w:szCs w:val="22"/>
        </w:rPr>
        <w:t xml:space="preserve"> to the Board.</w:t>
      </w:r>
    </w:p>
    <w:p w14:paraId="1B06B3C3" w14:textId="77777777" w:rsidR="00EF5517" w:rsidRPr="00EF5517" w:rsidRDefault="00EF5517" w:rsidP="00EF5517">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t>DEFINITIONS</w:t>
      </w:r>
    </w:p>
    <w:p w14:paraId="6B2AF38A" w14:textId="77777777" w:rsidR="00EF5517" w:rsidRPr="00EF5517" w:rsidRDefault="00EF5517" w:rsidP="00EF5517">
      <w:pPr>
        <w:pStyle w:val="BodyText"/>
        <w:numPr>
          <w:ilvl w:val="0"/>
          <w:numId w:val="10"/>
        </w:numPr>
        <w:tabs>
          <w:tab w:val="left" w:pos="10773"/>
        </w:tabs>
        <w:spacing w:before="66" w:after="200"/>
        <w:ind w:left="142" w:right="-164"/>
        <w:jc w:val="both"/>
        <w:rPr>
          <w:rFonts w:ascii="Times New Roman" w:hAnsi="Times New Roman" w:cs="Times New Roman"/>
          <w:sz w:val="22"/>
          <w:szCs w:val="22"/>
        </w:rPr>
      </w:pPr>
      <w:r w:rsidRPr="00EF5517">
        <w:rPr>
          <w:rFonts w:ascii="Times New Roman" w:hAnsi="Times New Roman" w:cs="Times New Roman"/>
          <w:sz w:val="22"/>
          <w:szCs w:val="22"/>
        </w:rPr>
        <w:t>“Remuneration” means any money or its equivalent paid or passed on to any person for services rendered by him and includes perquisites as defined under the Income‐tax Act, 1961;</w:t>
      </w:r>
    </w:p>
    <w:p w14:paraId="69CDDBB5" w14:textId="77777777" w:rsidR="00EF5517" w:rsidRPr="00EF5517" w:rsidRDefault="00EF5517" w:rsidP="00EF5517">
      <w:pPr>
        <w:pStyle w:val="BodyText"/>
        <w:numPr>
          <w:ilvl w:val="0"/>
          <w:numId w:val="10"/>
        </w:numPr>
        <w:tabs>
          <w:tab w:val="left" w:pos="10773"/>
        </w:tabs>
        <w:spacing w:before="66" w:after="200"/>
        <w:ind w:left="142" w:right="-164"/>
        <w:jc w:val="both"/>
        <w:rPr>
          <w:rFonts w:ascii="Times New Roman" w:hAnsi="Times New Roman" w:cs="Times New Roman"/>
          <w:sz w:val="22"/>
          <w:szCs w:val="22"/>
        </w:rPr>
      </w:pPr>
      <w:r w:rsidRPr="00EF5517">
        <w:rPr>
          <w:rFonts w:ascii="Times New Roman" w:hAnsi="Times New Roman" w:cs="Times New Roman"/>
          <w:sz w:val="22"/>
          <w:szCs w:val="22"/>
        </w:rPr>
        <w:t>“Key Managerial Personnel” means:</w:t>
      </w:r>
    </w:p>
    <w:p w14:paraId="1972A239" w14:textId="30B784FC" w:rsidR="00EF5517" w:rsidRPr="00EF5517" w:rsidRDefault="00EF5517" w:rsidP="00EF5517">
      <w:pPr>
        <w:pStyle w:val="BodyText"/>
        <w:numPr>
          <w:ilvl w:val="1"/>
          <w:numId w:val="10"/>
        </w:numPr>
        <w:tabs>
          <w:tab w:val="left" w:pos="10773"/>
        </w:tabs>
        <w:spacing w:before="66" w:after="200"/>
        <w:ind w:left="567" w:right="-164"/>
        <w:jc w:val="both"/>
        <w:rPr>
          <w:rFonts w:ascii="Times New Roman" w:hAnsi="Times New Roman" w:cs="Times New Roman"/>
          <w:sz w:val="22"/>
          <w:szCs w:val="22"/>
        </w:rPr>
      </w:pPr>
      <w:r w:rsidRPr="00EF5517">
        <w:rPr>
          <w:rFonts w:ascii="Times New Roman" w:hAnsi="Times New Roman" w:cs="Times New Roman"/>
          <w:sz w:val="22"/>
          <w:szCs w:val="22"/>
        </w:rPr>
        <w:t>Managing Director, or Chief Executive Officer or Manager and in their absence, a Whole</w:t>
      </w:r>
      <w:r w:rsidR="00AF407D">
        <w:rPr>
          <w:rFonts w:ascii="Times New Roman" w:hAnsi="Times New Roman" w:cs="Times New Roman"/>
          <w:sz w:val="22"/>
          <w:szCs w:val="22"/>
        </w:rPr>
        <w:t>-</w:t>
      </w:r>
      <w:r w:rsidRPr="00EF5517">
        <w:rPr>
          <w:rFonts w:ascii="Times New Roman" w:hAnsi="Times New Roman" w:cs="Times New Roman"/>
          <w:sz w:val="22"/>
          <w:szCs w:val="22"/>
        </w:rPr>
        <w:t>time Director;</w:t>
      </w:r>
    </w:p>
    <w:p w14:paraId="5DC614A9" w14:textId="77777777" w:rsidR="00EF5517" w:rsidRPr="00EF5517" w:rsidRDefault="00EF5517" w:rsidP="00EF5517">
      <w:pPr>
        <w:pStyle w:val="BodyText"/>
        <w:numPr>
          <w:ilvl w:val="1"/>
          <w:numId w:val="10"/>
        </w:numPr>
        <w:tabs>
          <w:tab w:val="left" w:pos="10773"/>
        </w:tabs>
        <w:spacing w:before="66" w:after="200"/>
        <w:ind w:left="567" w:right="-164"/>
        <w:jc w:val="both"/>
        <w:rPr>
          <w:rFonts w:ascii="Times New Roman" w:hAnsi="Times New Roman" w:cs="Times New Roman"/>
          <w:sz w:val="22"/>
          <w:szCs w:val="22"/>
        </w:rPr>
      </w:pPr>
      <w:r w:rsidRPr="00EF5517">
        <w:rPr>
          <w:rFonts w:ascii="Times New Roman" w:hAnsi="Times New Roman" w:cs="Times New Roman"/>
          <w:sz w:val="22"/>
          <w:szCs w:val="22"/>
        </w:rPr>
        <w:t>Chief Financial Officer;</w:t>
      </w:r>
    </w:p>
    <w:p w14:paraId="13137AD4" w14:textId="77777777" w:rsidR="00EF5517" w:rsidRPr="00EF5517" w:rsidRDefault="00EF5517" w:rsidP="00EF5517">
      <w:pPr>
        <w:pStyle w:val="BodyText"/>
        <w:numPr>
          <w:ilvl w:val="1"/>
          <w:numId w:val="10"/>
        </w:numPr>
        <w:tabs>
          <w:tab w:val="left" w:pos="10773"/>
        </w:tabs>
        <w:spacing w:before="66" w:after="200"/>
        <w:ind w:left="567" w:right="-164"/>
        <w:jc w:val="both"/>
        <w:rPr>
          <w:rFonts w:ascii="Times New Roman" w:hAnsi="Times New Roman" w:cs="Times New Roman"/>
          <w:sz w:val="22"/>
          <w:szCs w:val="22"/>
        </w:rPr>
      </w:pPr>
      <w:r w:rsidRPr="00EF5517">
        <w:rPr>
          <w:rFonts w:ascii="Times New Roman" w:hAnsi="Times New Roman" w:cs="Times New Roman"/>
          <w:sz w:val="22"/>
          <w:szCs w:val="22"/>
        </w:rPr>
        <w:t>Company Secretary;</w:t>
      </w:r>
    </w:p>
    <w:p w14:paraId="6D5BCBEA" w14:textId="77777777" w:rsidR="00EF5517" w:rsidRPr="00EF5517" w:rsidRDefault="00EF5517" w:rsidP="00EF5517">
      <w:pPr>
        <w:pStyle w:val="BodyText"/>
        <w:numPr>
          <w:ilvl w:val="1"/>
          <w:numId w:val="10"/>
        </w:numPr>
        <w:tabs>
          <w:tab w:val="left" w:pos="10773"/>
        </w:tabs>
        <w:spacing w:before="66" w:after="200"/>
        <w:ind w:left="567" w:right="-164"/>
        <w:jc w:val="both"/>
        <w:rPr>
          <w:rFonts w:ascii="Times New Roman" w:hAnsi="Times New Roman" w:cs="Times New Roman"/>
          <w:sz w:val="22"/>
          <w:szCs w:val="22"/>
        </w:rPr>
      </w:pPr>
      <w:r w:rsidRPr="00EF5517">
        <w:rPr>
          <w:rFonts w:ascii="Times New Roman" w:hAnsi="Times New Roman" w:cs="Times New Roman"/>
          <w:sz w:val="22"/>
          <w:szCs w:val="22"/>
        </w:rPr>
        <w:t>Such other officers as may be prescribed.</w:t>
      </w:r>
    </w:p>
    <w:p w14:paraId="75AAB2FC" w14:textId="77777777" w:rsidR="00EF5517" w:rsidRPr="00EF5517" w:rsidRDefault="00EF5517" w:rsidP="00EF5517">
      <w:pPr>
        <w:pStyle w:val="BodyText"/>
        <w:numPr>
          <w:ilvl w:val="0"/>
          <w:numId w:val="10"/>
        </w:numPr>
        <w:tabs>
          <w:tab w:val="left" w:pos="10773"/>
        </w:tabs>
        <w:spacing w:before="66" w:after="200"/>
        <w:ind w:left="142" w:right="-164"/>
        <w:jc w:val="both"/>
        <w:rPr>
          <w:rFonts w:ascii="Times New Roman" w:hAnsi="Times New Roman" w:cs="Times New Roman"/>
          <w:w w:val="105"/>
          <w:sz w:val="22"/>
          <w:szCs w:val="22"/>
        </w:rPr>
      </w:pPr>
      <w:r w:rsidRPr="00EF5517">
        <w:rPr>
          <w:rFonts w:ascii="Times New Roman" w:hAnsi="Times New Roman" w:cs="Times New Roman"/>
          <w:sz w:val="22"/>
          <w:szCs w:val="22"/>
        </w:rPr>
        <w:t>“Senior Managerial Personnel” means the personnel of the company who are members of its core management team excluding Board of Directors comprising all members of the management one level below the executive director including the functional heads</w:t>
      </w:r>
      <w:r w:rsidRPr="00EF5517">
        <w:rPr>
          <w:rFonts w:ascii="Times New Roman" w:hAnsi="Times New Roman" w:cs="Times New Roman"/>
          <w:w w:val="105"/>
          <w:sz w:val="22"/>
          <w:szCs w:val="22"/>
        </w:rPr>
        <w:t>.</w:t>
      </w:r>
    </w:p>
    <w:p w14:paraId="30A16BCD" w14:textId="74F4C793" w:rsidR="00EF5517" w:rsidRPr="00EF5517" w:rsidRDefault="00EF5517" w:rsidP="00943BC6">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lastRenderedPageBreak/>
        <w:t>NOMINATION AND REMUNERATION COMMITTEE</w:t>
      </w:r>
    </w:p>
    <w:p w14:paraId="2D997314" w14:textId="0F36FAB5"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sz w:val="22"/>
          <w:szCs w:val="22"/>
        </w:rPr>
      </w:pPr>
      <w:r w:rsidRPr="00EF5517">
        <w:rPr>
          <w:rFonts w:ascii="Times New Roman" w:hAnsi="Times New Roman" w:cs="Times New Roman"/>
          <w:w w:val="105"/>
          <w:sz w:val="22"/>
          <w:szCs w:val="22"/>
        </w:rPr>
        <w:t>Term of Reference:</w:t>
      </w:r>
    </w:p>
    <w:p w14:paraId="72E09251"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Identifying persons who are qualified to become directors and who may be appointed in senior management in accordance with the criteria laid down, recommend to the Board their appointment and removal and shall carry out evaluation of every director’s performance.</w:t>
      </w:r>
    </w:p>
    <w:p w14:paraId="2C5A1547"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Formulating the criteria for determining qualifications, positive attributes and independence of a director and recommend to the Board a policy, relating to the remuneration for the directors, key managerial personnel and other employees.</w:t>
      </w:r>
    </w:p>
    <w:p w14:paraId="16EF1558"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Specify the manner for effective evaluation of performance of Independent Directors, the Board and its committees and other individual directors and further review its implementation and compliance;</w:t>
      </w:r>
    </w:p>
    <w:p w14:paraId="6D128E8F"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Devising a policy on Board diversity</w:t>
      </w:r>
    </w:p>
    <w:p w14:paraId="7BF3E9A0"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Ensuring that the Board comprises of a balanced combination of Executive Directors and Non-Executive Directors;</w:t>
      </w:r>
    </w:p>
    <w:p w14:paraId="57568BB2"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All information about the Directors / Managing Directors / Whole time Directors / Key Managerial Personnel i.e., background details, past remuneration, recognition or awards, job profile shall be considered and disclosed to shareholders, where required;</w:t>
      </w:r>
    </w:p>
    <w:p w14:paraId="2E3A0D26"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Committee shall take into consideration and ensure the compliance of provisions under Schedule V of the Companies Act, 2013 for appointing and fixing remuneration of Managing Directors / Whole-time Directors;</w:t>
      </w:r>
    </w:p>
    <w:p w14:paraId="04172A59"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While approving the remuneration, the Committee shall take into account financial position of the Company, trend in the industry, qualification, experience and past performance of the appointee;</w:t>
      </w:r>
    </w:p>
    <w:p w14:paraId="07C04D03" w14:textId="77777777" w:rsidR="00EF5517" w:rsidRPr="00EF5517" w:rsidRDefault="00EF5517" w:rsidP="00EF5517">
      <w:pPr>
        <w:pStyle w:val="BodyText"/>
        <w:numPr>
          <w:ilvl w:val="0"/>
          <w:numId w:val="23"/>
        </w:numPr>
        <w:tabs>
          <w:tab w:val="left" w:pos="10773"/>
        </w:tabs>
        <w:spacing w:before="66" w:after="200" w:line="249" w:lineRule="auto"/>
        <w:ind w:left="426"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Committee shall be in a position to bring about objectivity in determining the remuneration package while striking the balance between the interest of the Company and the shareholders;</w:t>
      </w:r>
    </w:p>
    <w:p w14:paraId="1CC3DAE6" w14:textId="45599839" w:rsidR="00EF5517" w:rsidRPr="00EF5517" w:rsidRDefault="00EF5517" w:rsidP="00EF5517">
      <w:pPr>
        <w:pStyle w:val="ListParagraph"/>
        <w:tabs>
          <w:tab w:val="left" w:pos="442"/>
          <w:tab w:val="left" w:pos="10773"/>
        </w:tabs>
        <w:spacing w:before="66" w:after="200"/>
        <w:ind w:left="-142" w:right="-164" w:firstLine="0"/>
        <w:jc w:val="both"/>
        <w:rPr>
          <w:rFonts w:ascii="Times New Roman" w:hAnsi="Times New Roman" w:cs="Times New Roman"/>
          <w:b/>
        </w:rPr>
      </w:pPr>
      <w:r w:rsidRPr="00EF5517">
        <w:rPr>
          <w:rFonts w:ascii="Times New Roman" w:hAnsi="Times New Roman" w:cs="Times New Roman"/>
          <w:b/>
          <w:w w:val="105"/>
        </w:rPr>
        <w:t>Membership:</w:t>
      </w:r>
    </w:p>
    <w:p w14:paraId="20B16BDE" w14:textId="1DCB69FE" w:rsidR="00EF5517" w:rsidRPr="00EF5517" w:rsidRDefault="00EF5517" w:rsidP="00EF5517">
      <w:pPr>
        <w:pStyle w:val="BodyText"/>
        <w:numPr>
          <w:ilvl w:val="1"/>
          <w:numId w:val="18"/>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Committee shall comprise of at least (3) Directors, all of whom shall be non-executive Directors and at least half shall be Independent Directors.</w:t>
      </w:r>
    </w:p>
    <w:p w14:paraId="5183F3F9" w14:textId="77777777" w:rsidR="00EF5517" w:rsidRPr="00EF5517" w:rsidRDefault="00EF5517" w:rsidP="00EF5517">
      <w:pPr>
        <w:pStyle w:val="BodyText"/>
        <w:numPr>
          <w:ilvl w:val="1"/>
          <w:numId w:val="18"/>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Board shall reconstitute the Committee as and when required to comply with the provisions of the Act and the SEBI Listing Regulations.</w:t>
      </w:r>
    </w:p>
    <w:p w14:paraId="4E336681" w14:textId="77777777" w:rsidR="00EF5517" w:rsidRPr="00EF5517" w:rsidRDefault="00EF5517" w:rsidP="00EF5517">
      <w:pPr>
        <w:pStyle w:val="BodyText"/>
        <w:numPr>
          <w:ilvl w:val="1"/>
          <w:numId w:val="18"/>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quorum for the Meeting of the Committee shall either be two members or one third of the total strength of the Committee, whichever is higher (including at least one independent director in attendance).</w:t>
      </w:r>
    </w:p>
    <w:p w14:paraId="24F054E8" w14:textId="77777777" w:rsidR="00EF5517" w:rsidRPr="00EF5517" w:rsidRDefault="00EF5517" w:rsidP="00EF5517">
      <w:pPr>
        <w:pStyle w:val="BodyText"/>
        <w:numPr>
          <w:ilvl w:val="1"/>
          <w:numId w:val="18"/>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Membership of the Committee shall be disclosed in the Annual Report.</w:t>
      </w:r>
    </w:p>
    <w:p w14:paraId="32F60D4B" w14:textId="77777777" w:rsidR="00EF5517" w:rsidRPr="00EF5517" w:rsidRDefault="00EF5517" w:rsidP="00EF5517">
      <w:pPr>
        <w:pStyle w:val="BodyText"/>
        <w:numPr>
          <w:ilvl w:val="1"/>
          <w:numId w:val="18"/>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Term of the Committee shall be continued unless terminated by the Board of Directors.</w:t>
      </w:r>
    </w:p>
    <w:p w14:paraId="2468B4E3" w14:textId="2A0329D7"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sz w:val="22"/>
          <w:szCs w:val="22"/>
        </w:rPr>
      </w:pPr>
      <w:r w:rsidRPr="00EF5517">
        <w:rPr>
          <w:rFonts w:ascii="Times New Roman" w:hAnsi="Times New Roman" w:cs="Times New Roman"/>
          <w:w w:val="105"/>
          <w:sz w:val="22"/>
          <w:szCs w:val="22"/>
        </w:rPr>
        <w:t>Chairperson:</w:t>
      </w:r>
    </w:p>
    <w:p w14:paraId="5FF03C9C" w14:textId="77777777" w:rsidR="00EF5517" w:rsidRPr="00EF5517" w:rsidRDefault="00EF5517" w:rsidP="00EF5517">
      <w:pPr>
        <w:pStyle w:val="BodyText"/>
        <w:numPr>
          <w:ilvl w:val="1"/>
          <w:numId w:val="19"/>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Chairperson of the Committee shall be an Independent Director.</w:t>
      </w:r>
    </w:p>
    <w:p w14:paraId="1E5205D7" w14:textId="00184485" w:rsidR="00EF5517" w:rsidRPr="00EF5517" w:rsidRDefault="00EF5517" w:rsidP="00EF5517">
      <w:pPr>
        <w:pStyle w:val="BodyText"/>
        <w:numPr>
          <w:ilvl w:val="1"/>
          <w:numId w:val="19"/>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Chairperson of the Company may be appointed as a member of the Committee but shall not be a Chair</w:t>
      </w:r>
      <w:r w:rsidR="00DB53E8">
        <w:rPr>
          <w:rFonts w:ascii="Times New Roman" w:hAnsi="Times New Roman" w:cs="Times New Roman"/>
          <w:w w:val="105"/>
          <w:sz w:val="22"/>
          <w:szCs w:val="22"/>
        </w:rPr>
        <w:t>person</w:t>
      </w:r>
      <w:r w:rsidRPr="00EF5517">
        <w:rPr>
          <w:rFonts w:ascii="Times New Roman" w:hAnsi="Times New Roman" w:cs="Times New Roman"/>
          <w:w w:val="105"/>
          <w:sz w:val="22"/>
          <w:szCs w:val="22"/>
        </w:rPr>
        <w:t xml:space="preserve"> of the Committee.</w:t>
      </w:r>
    </w:p>
    <w:p w14:paraId="4BB6C26D" w14:textId="77777777" w:rsidR="00EF5517" w:rsidRPr="00EF5517" w:rsidRDefault="00EF5517" w:rsidP="00EF5517">
      <w:pPr>
        <w:pStyle w:val="BodyText"/>
        <w:numPr>
          <w:ilvl w:val="1"/>
          <w:numId w:val="19"/>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In the absence of the Chairperson, the members of the Committee present at the meeting shall choose </w:t>
      </w:r>
      <w:r w:rsidRPr="00EF5517">
        <w:rPr>
          <w:rFonts w:ascii="Times New Roman" w:hAnsi="Times New Roman" w:cs="Times New Roman"/>
          <w:w w:val="105"/>
          <w:sz w:val="22"/>
          <w:szCs w:val="22"/>
        </w:rPr>
        <w:lastRenderedPageBreak/>
        <w:t>one amongst them to act as Chairperson.</w:t>
      </w:r>
    </w:p>
    <w:p w14:paraId="3D4DA7B7" w14:textId="53D4455C" w:rsidR="00EF5517" w:rsidRPr="00EF5517" w:rsidRDefault="00EF5517" w:rsidP="00EF5517">
      <w:pPr>
        <w:pStyle w:val="BodyText"/>
        <w:numPr>
          <w:ilvl w:val="1"/>
          <w:numId w:val="19"/>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Chair</w:t>
      </w:r>
      <w:r w:rsidR="00DB53E8">
        <w:rPr>
          <w:rFonts w:ascii="Times New Roman" w:hAnsi="Times New Roman" w:cs="Times New Roman"/>
          <w:w w:val="105"/>
          <w:sz w:val="22"/>
          <w:szCs w:val="22"/>
        </w:rPr>
        <w:t>person</w:t>
      </w:r>
      <w:r w:rsidRPr="00EF5517">
        <w:rPr>
          <w:rFonts w:ascii="Times New Roman" w:hAnsi="Times New Roman" w:cs="Times New Roman"/>
          <w:w w:val="105"/>
          <w:sz w:val="22"/>
          <w:szCs w:val="22"/>
        </w:rPr>
        <w:t xml:space="preserve"> of the Committee meeting could be present at the annual general meeting or may nominate some other member to answer the shareholders’ queries.</w:t>
      </w:r>
    </w:p>
    <w:p w14:paraId="6727E255" w14:textId="186DC167"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w w:val="105"/>
          <w:sz w:val="22"/>
          <w:szCs w:val="22"/>
        </w:rPr>
      </w:pPr>
      <w:r w:rsidRPr="00EF5517">
        <w:rPr>
          <w:rFonts w:ascii="Times New Roman" w:hAnsi="Times New Roman" w:cs="Times New Roman"/>
          <w:w w:val="105"/>
          <w:sz w:val="22"/>
          <w:szCs w:val="22"/>
        </w:rPr>
        <w:t>Frequency of Meetings:</w:t>
      </w:r>
    </w:p>
    <w:p w14:paraId="0022C255" w14:textId="77777777" w:rsidR="00EF5517"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meeting of the Committee shall be held at such regular intervals as may be required but not less than one meeting in a year.</w:t>
      </w:r>
    </w:p>
    <w:p w14:paraId="059CA047" w14:textId="281C53A5"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sz w:val="22"/>
          <w:szCs w:val="22"/>
        </w:rPr>
      </w:pPr>
      <w:r w:rsidRPr="00EF5517">
        <w:rPr>
          <w:rFonts w:ascii="Times New Roman" w:hAnsi="Times New Roman" w:cs="Times New Roman"/>
          <w:w w:val="105"/>
          <w:sz w:val="22"/>
          <w:szCs w:val="22"/>
        </w:rPr>
        <w:t>Agenda, Minutes &amp; Reports:</w:t>
      </w:r>
    </w:p>
    <w:p w14:paraId="707E8CA6" w14:textId="77777777"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b w:val="0"/>
          <w:w w:val="105"/>
          <w:sz w:val="22"/>
          <w:szCs w:val="22"/>
        </w:rPr>
      </w:pPr>
      <w:r w:rsidRPr="00EF5517">
        <w:rPr>
          <w:rFonts w:ascii="Times New Roman" w:hAnsi="Times New Roman" w:cs="Times New Roman"/>
          <w:b w:val="0"/>
          <w:w w:val="105"/>
          <w:sz w:val="22"/>
          <w:szCs w:val="22"/>
        </w:rPr>
        <w:t>Meeting of the Committee can be held whenever required. The Chairperson of the Committee shall be responsible for establishing the agenda for meetings of the Committee. Minutes of all meetings of the Committee shall be prepared to document the discharge of responsibilities by the Committee. The minutes shall be approved at a subsequent meeting of the Committee and shall be distributed periodically to the full Board of Directors. The Company Secretary of the Company shall act as the Secretary/Convener of the Committee and ensure that the Committee receives information and papers in a timely manner to enable full and proper consideration to be given to the issues.</w:t>
      </w:r>
    </w:p>
    <w:p w14:paraId="5CEF4AE0" w14:textId="52EEA427"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w w:val="105"/>
          <w:sz w:val="22"/>
          <w:szCs w:val="22"/>
        </w:rPr>
      </w:pPr>
      <w:r w:rsidRPr="00EF5517">
        <w:rPr>
          <w:rFonts w:ascii="Times New Roman" w:hAnsi="Times New Roman" w:cs="Times New Roman"/>
          <w:w w:val="105"/>
          <w:sz w:val="22"/>
          <w:szCs w:val="22"/>
        </w:rPr>
        <w:t>Committee Members’ Interests:</w:t>
      </w:r>
    </w:p>
    <w:p w14:paraId="63184BA4" w14:textId="77777777" w:rsidR="00EF5517" w:rsidRPr="00EF5517" w:rsidRDefault="00EF5517" w:rsidP="00EF5517">
      <w:pPr>
        <w:pStyle w:val="BodyText"/>
        <w:numPr>
          <w:ilvl w:val="1"/>
          <w:numId w:val="20"/>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A member of the Committee is not entitled to be present when his or her own remuneration is discussed at a meeting or when his or her performance is being evaluated.</w:t>
      </w:r>
    </w:p>
    <w:p w14:paraId="361AAB5E" w14:textId="77777777" w:rsidR="00EF5517" w:rsidRPr="00EF5517" w:rsidRDefault="00EF5517" w:rsidP="00EF5517">
      <w:pPr>
        <w:pStyle w:val="BodyText"/>
        <w:numPr>
          <w:ilvl w:val="1"/>
          <w:numId w:val="20"/>
        </w:numPr>
        <w:tabs>
          <w:tab w:val="left" w:pos="10773"/>
        </w:tabs>
        <w:spacing w:before="66" w:after="200" w:line="249" w:lineRule="auto"/>
        <w:ind w:left="284"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Committee may invite such executives, as it considers appropriate, to be present at the meetings of the Committee</w:t>
      </w:r>
    </w:p>
    <w:p w14:paraId="382D185B" w14:textId="7FAB2C7B" w:rsidR="00EF5517" w:rsidRPr="00EF5517" w:rsidRDefault="00EF5517" w:rsidP="00EF5517">
      <w:pPr>
        <w:pStyle w:val="Heading4"/>
        <w:tabs>
          <w:tab w:val="left" w:pos="442"/>
          <w:tab w:val="left" w:pos="10773"/>
        </w:tabs>
        <w:spacing w:before="66" w:after="200"/>
        <w:ind w:left="-142" w:right="-164" w:firstLine="0"/>
        <w:jc w:val="both"/>
        <w:rPr>
          <w:rFonts w:ascii="Times New Roman" w:hAnsi="Times New Roman" w:cs="Times New Roman"/>
          <w:w w:val="105"/>
          <w:sz w:val="22"/>
          <w:szCs w:val="22"/>
        </w:rPr>
      </w:pPr>
      <w:r w:rsidRPr="00EF5517">
        <w:rPr>
          <w:rFonts w:ascii="Times New Roman" w:hAnsi="Times New Roman" w:cs="Times New Roman"/>
          <w:w w:val="105"/>
          <w:sz w:val="22"/>
          <w:szCs w:val="22"/>
        </w:rPr>
        <w:t>Secretary:</w:t>
      </w:r>
    </w:p>
    <w:p w14:paraId="639EC4C3" w14:textId="64D65441" w:rsidR="00EF5517"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Company Secretary of the Company shall act as Secretary of the Committee.</w:t>
      </w:r>
    </w:p>
    <w:p w14:paraId="13EE87BB" w14:textId="555C154F" w:rsidR="00EF5517" w:rsidRPr="00DD0BCA" w:rsidRDefault="00DD0BCA" w:rsidP="00DD0BCA">
      <w:pPr>
        <w:pStyle w:val="Heading4"/>
        <w:tabs>
          <w:tab w:val="left" w:pos="10773"/>
        </w:tabs>
        <w:spacing w:before="66" w:after="200"/>
        <w:ind w:left="-142" w:right="-164" w:firstLine="0"/>
        <w:jc w:val="center"/>
        <w:rPr>
          <w:rFonts w:ascii="Times New Roman" w:hAnsi="Times New Roman" w:cs="Times New Roman"/>
          <w:w w:val="105"/>
          <w:szCs w:val="22"/>
        </w:rPr>
      </w:pPr>
      <w:r>
        <w:rPr>
          <w:rFonts w:ascii="Times New Roman" w:hAnsi="Times New Roman" w:cs="Times New Roman"/>
          <w:w w:val="105"/>
          <w:szCs w:val="22"/>
        </w:rPr>
        <w:t>(</w:t>
      </w:r>
      <w:r w:rsidR="00EF5517" w:rsidRPr="00DD0BCA">
        <w:rPr>
          <w:rFonts w:ascii="Times New Roman" w:hAnsi="Times New Roman" w:cs="Times New Roman"/>
          <w:w w:val="105"/>
          <w:szCs w:val="22"/>
        </w:rPr>
        <w:t>APPOINTMENT AND REMOVAL OF DIRECTOR, KEY MANAGERIAL PERSONNEL AND SENIOR MANAGEMENT PERSONNEL</w:t>
      </w:r>
      <w:r>
        <w:rPr>
          <w:rFonts w:ascii="Times New Roman" w:hAnsi="Times New Roman" w:cs="Times New Roman"/>
          <w:w w:val="105"/>
          <w:szCs w:val="22"/>
        </w:rPr>
        <w:t>)</w:t>
      </w:r>
    </w:p>
    <w:p w14:paraId="40D9DEDC" w14:textId="77777777" w:rsidR="00EF5517" w:rsidRPr="00EF5517" w:rsidRDefault="00EF5517" w:rsidP="00EF5517">
      <w:pPr>
        <w:pStyle w:val="ListParagraph"/>
        <w:numPr>
          <w:ilvl w:val="0"/>
          <w:numId w:val="13"/>
        </w:numPr>
        <w:tabs>
          <w:tab w:val="left" w:pos="442"/>
          <w:tab w:val="left" w:pos="10773"/>
        </w:tabs>
        <w:spacing w:before="66" w:after="200"/>
        <w:ind w:right="-164"/>
        <w:jc w:val="both"/>
        <w:rPr>
          <w:rFonts w:ascii="Times New Roman" w:hAnsi="Times New Roman" w:cs="Times New Roman"/>
          <w:w w:val="105"/>
        </w:rPr>
      </w:pPr>
      <w:r w:rsidRPr="00EF5517">
        <w:rPr>
          <w:rFonts w:ascii="Times New Roman" w:hAnsi="Times New Roman" w:cs="Times New Roman"/>
          <w:w w:val="105"/>
        </w:rPr>
        <w:t>The Committee shall identify and ascertain the integrity, qualification, expertise and experience of the person for appointment as Director, KMP or Senior Management Personnel and make recommendations to the Board about his/her appointment.</w:t>
      </w:r>
    </w:p>
    <w:p w14:paraId="0147742B" w14:textId="77777777" w:rsidR="00EF5517" w:rsidRPr="00EF5517" w:rsidRDefault="00EF5517" w:rsidP="00EF5517">
      <w:pPr>
        <w:pStyle w:val="ListParagraph"/>
        <w:numPr>
          <w:ilvl w:val="0"/>
          <w:numId w:val="13"/>
        </w:numPr>
        <w:tabs>
          <w:tab w:val="left" w:pos="442"/>
          <w:tab w:val="left" w:pos="10773"/>
        </w:tabs>
        <w:spacing w:before="66" w:after="200"/>
        <w:ind w:right="-164"/>
        <w:jc w:val="both"/>
        <w:rPr>
          <w:rFonts w:ascii="Times New Roman" w:hAnsi="Times New Roman" w:cs="Times New Roman"/>
          <w:w w:val="105"/>
        </w:rPr>
      </w:pPr>
      <w:r w:rsidRPr="00EF5517">
        <w:rPr>
          <w:rFonts w:ascii="Times New Roman" w:hAnsi="Times New Roman" w:cs="Times New Roman"/>
          <w:w w:val="105"/>
        </w:rPr>
        <w:t xml:space="preserve">A person should possess adequate qualification, expertise and experience for the position he/ she is considered for appointment. The Committee has authority to decide whether qualification, </w:t>
      </w:r>
      <w:proofErr w:type="spellStart"/>
      <w:r w:rsidRPr="00EF5517">
        <w:rPr>
          <w:rFonts w:ascii="Times New Roman" w:hAnsi="Times New Roman" w:cs="Times New Roman"/>
          <w:w w:val="105"/>
        </w:rPr>
        <w:t>exprtise</w:t>
      </w:r>
      <w:proofErr w:type="spellEnd"/>
      <w:r w:rsidRPr="00EF5517">
        <w:rPr>
          <w:rFonts w:ascii="Times New Roman" w:hAnsi="Times New Roman" w:cs="Times New Roman"/>
          <w:w w:val="105"/>
        </w:rPr>
        <w:t xml:space="preserve"> and experience possessed by a person is sufficient /satisfactory for the position.</w:t>
      </w:r>
    </w:p>
    <w:p w14:paraId="2D404BB9" w14:textId="24244610" w:rsidR="00EF5517" w:rsidRPr="00EF5517" w:rsidRDefault="00EF5517" w:rsidP="00EF5517">
      <w:pPr>
        <w:pStyle w:val="ListParagraph"/>
        <w:numPr>
          <w:ilvl w:val="0"/>
          <w:numId w:val="13"/>
        </w:numPr>
        <w:tabs>
          <w:tab w:val="left" w:pos="442"/>
          <w:tab w:val="left" w:pos="10773"/>
        </w:tabs>
        <w:spacing w:before="66" w:after="200"/>
        <w:ind w:right="-164"/>
        <w:jc w:val="both"/>
        <w:rPr>
          <w:rFonts w:ascii="Times New Roman" w:hAnsi="Times New Roman" w:cs="Times New Roman"/>
          <w:w w:val="105"/>
        </w:rPr>
      </w:pPr>
      <w:r w:rsidRPr="00EF5517">
        <w:rPr>
          <w:rFonts w:ascii="Times New Roman" w:hAnsi="Times New Roman" w:cs="Times New Roman"/>
          <w:w w:val="105"/>
        </w:rPr>
        <w:t>The Company shall not appoint or continue to have any person as Whole</w:t>
      </w:r>
      <w:r w:rsidR="00D54D13">
        <w:rPr>
          <w:rFonts w:ascii="Times New Roman" w:hAnsi="Times New Roman" w:cs="Times New Roman"/>
          <w:w w:val="105"/>
        </w:rPr>
        <w:t>-</w:t>
      </w:r>
      <w:r w:rsidRPr="00EF5517">
        <w:rPr>
          <w:rFonts w:ascii="Times New Roman" w:hAnsi="Times New Roman" w:cs="Times New Roman"/>
          <w:w w:val="105"/>
        </w:rPr>
        <w:t>time Director who has attained the age of seventy years and shall not appoint or continue any person as Independent Director who has attained the age of seventy‐five years, provided that the term of the person holding such position may be extended beyond the age of seventy years/seventy‐five years with the approval of shareholders by passing a special resolution.</w:t>
      </w:r>
    </w:p>
    <w:p w14:paraId="16A5B13B" w14:textId="77777777" w:rsidR="00EF5517" w:rsidRPr="00EF5517" w:rsidRDefault="00EF5517" w:rsidP="00EF5517">
      <w:pPr>
        <w:pStyle w:val="ListParagraph"/>
        <w:numPr>
          <w:ilvl w:val="0"/>
          <w:numId w:val="13"/>
        </w:numPr>
        <w:tabs>
          <w:tab w:val="left" w:pos="442"/>
          <w:tab w:val="left" w:pos="10773"/>
        </w:tabs>
        <w:spacing w:before="66" w:after="200"/>
        <w:ind w:right="-164"/>
        <w:jc w:val="both"/>
        <w:rPr>
          <w:rFonts w:ascii="Times New Roman" w:hAnsi="Times New Roman" w:cs="Times New Roman"/>
          <w:w w:val="105"/>
        </w:rPr>
      </w:pPr>
      <w:r w:rsidRPr="00EF5517">
        <w:rPr>
          <w:rFonts w:ascii="Times New Roman" w:hAnsi="Times New Roman" w:cs="Times New Roman"/>
          <w:w w:val="105"/>
        </w:rPr>
        <w:t>Basis the performance evaluation report of an Independent Director, the committee shall recommend to the Board, whether to extend or continue the term of appointment of the Independent Director.</w:t>
      </w:r>
    </w:p>
    <w:p w14:paraId="6D8CEC2D" w14:textId="1D5567AC" w:rsidR="00EF5517" w:rsidRPr="00EF5517" w:rsidRDefault="00EF5517" w:rsidP="00EF5517">
      <w:pPr>
        <w:tabs>
          <w:tab w:val="left" w:pos="442"/>
          <w:tab w:val="left" w:pos="10773"/>
        </w:tabs>
        <w:spacing w:before="66" w:after="200"/>
        <w:ind w:left="-121" w:right="-164"/>
        <w:jc w:val="both"/>
        <w:rPr>
          <w:rFonts w:ascii="Times New Roman" w:hAnsi="Times New Roman" w:cs="Times New Roman"/>
          <w:b/>
          <w:w w:val="105"/>
        </w:rPr>
      </w:pPr>
      <w:r w:rsidRPr="00EF5517">
        <w:rPr>
          <w:rFonts w:ascii="Times New Roman" w:hAnsi="Times New Roman" w:cs="Times New Roman"/>
          <w:b/>
          <w:w w:val="105"/>
        </w:rPr>
        <w:t>Term/ Tenure:</w:t>
      </w:r>
    </w:p>
    <w:p w14:paraId="09CC176D" w14:textId="70B3E28F" w:rsidR="00A67BF9" w:rsidRPr="00EF5517" w:rsidRDefault="00A67BF9" w:rsidP="00EF5517">
      <w:pPr>
        <w:pStyle w:val="ListParagraph"/>
        <w:numPr>
          <w:ilvl w:val="0"/>
          <w:numId w:val="17"/>
        </w:numPr>
        <w:tabs>
          <w:tab w:val="left" w:pos="442"/>
          <w:tab w:val="left" w:pos="10773"/>
        </w:tabs>
        <w:spacing w:before="66" w:after="200"/>
        <w:ind w:left="284" w:right="-164"/>
        <w:jc w:val="both"/>
        <w:rPr>
          <w:rFonts w:ascii="Times New Roman" w:hAnsi="Times New Roman" w:cs="Times New Roman"/>
          <w:b/>
          <w:w w:val="105"/>
        </w:rPr>
      </w:pPr>
      <w:r w:rsidRPr="00EF5517">
        <w:rPr>
          <w:rFonts w:ascii="Times New Roman" w:hAnsi="Times New Roman" w:cs="Times New Roman"/>
          <w:b/>
          <w:w w:val="105"/>
        </w:rPr>
        <w:t>Executive Chair</w:t>
      </w:r>
      <w:r w:rsidR="001D3DE5" w:rsidRPr="00EF5517">
        <w:rPr>
          <w:rFonts w:ascii="Times New Roman" w:hAnsi="Times New Roman" w:cs="Times New Roman"/>
          <w:b/>
          <w:w w:val="105"/>
        </w:rPr>
        <w:t>person</w:t>
      </w:r>
      <w:r w:rsidRPr="00EF5517">
        <w:rPr>
          <w:rFonts w:ascii="Times New Roman" w:hAnsi="Times New Roman" w:cs="Times New Roman"/>
          <w:b/>
          <w:w w:val="105"/>
        </w:rPr>
        <w:t>/ Managing Director/ Whole‐time Director:</w:t>
      </w:r>
    </w:p>
    <w:p w14:paraId="3A88CE5D" w14:textId="027FE068" w:rsidR="00A67BF9" w:rsidRPr="00EF5517" w:rsidRDefault="00A67BF9" w:rsidP="00A67BF9">
      <w:pPr>
        <w:pStyle w:val="ListParagraph"/>
        <w:tabs>
          <w:tab w:val="left" w:pos="442"/>
          <w:tab w:val="left" w:pos="10773"/>
        </w:tabs>
        <w:spacing w:before="66" w:after="200"/>
        <w:ind w:left="284" w:right="-164" w:firstLine="0"/>
        <w:jc w:val="both"/>
        <w:rPr>
          <w:rFonts w:ascii="Times New Roman" w:hAnsi="Times New Roman" w:cs="Times New Roman"/>
          <w:w w:val="105"/>
        </w:rPr>
      </w:pPr>
      <w:r w:rsidRPr="00EF5517">
        <w:rPr>
          <w:rFonts w:ascii="Times New Roman" w:hAnsi="Times New Roman" w:cs="Times New Roman"/>
          <w:w w:val="105"/>
        </w:rPr>
        <w:t>The Company shall appoint or re‐appoint any person as its Executive Chair</w:t>
      </w:r>
      <w:r w:rsidR="001D3DE5" w:rsidRPr="00EF5517">
        <w:rPr>
          <w:rFonts w:ascii="Times New Roman" w:hAnsi="Times New Roman" w:cs="Times New Roman"/>
          <w:w w:val="105"/>
        </w:rPr>
        <w:t>person</w:t>
      </w:r>
      <w:r w:rsidRPr="00EF5517">
        <w:rPr>
          <w:rFonts w:ascii="Times New Roman" w:hAnsi="Times New Roman" w:cs="Times New Roman"/>
          <w:w w:val="105"/>
        </w:rPr>
        <w:t xml:space="preserve"> or Managing Director or Whole‐time Director or Executive Director for a term not exceeding five years at a time. No </w:t>
      </w:r>
      <w:r w:rsidRPr="00EF5517">
        <w:rPr>
          <w:rFonts w:ascii="Times New Roman" w:hAnsi="Times New Roman" w:cs="Times New Roman"/>
          <w:w w:val="105"/>
        </w:rPr>
        <w:lastRenderedPageBreak/>
        <w:t>re‐appointment shall be made earlier than one year before the expiry of term.</w:t>
      </w:r>
    </w:p>
    <w:p w14:paraId="001FC1FD" w14:textId="77777777" w:rsidR="00A67BF9" w:rsidRPr="00EF5517" w:rsidRDefault="00A67BF9" w:rsidP="00A67BF9">
      <w:pPr>
        <w:pStyle w:val="ListParagraph"/>
        <w:numPr>
          <w:ilvl w:val="0"/>
          <w:numId w:val="17"/>
        </w:numPr>
        <w:tabs>
          <w:tab w:val="left" w:pos="442"/>
          <w:tab w:val="left" w:pos="10773"/>
        </w:tabs>
        <w:spacing w:before="66" w:after="200"/>
        <w:ind w:left="284" w:right="-164"/>
        <w:jc w:val="both"/>
        <w:rPr>
          <w:rFonts w:ascii="Times New Roman" w:hAnsi="Times New Roman" w:cs="Times New Roman"/>
          <w:b/>
          <w:w w:val="105"/>
        </w:rPr>
      </w:pPr>
      <w:r w:rsidRPr="00EF5517">
        <w:rPr>
          <w:rFonts w:ascii="Times New Roman" w:hAnsi="Times New Roman" w:cs="Times New Roman"/>
          <w:b/>
          <w:w w:val="105"/>
        </w:rPr>
        <w:t>Independent Director:</w:t>
      </w:r>
    </w:p>
    <w:p w14:paraId="22B00BBC" w14:textId="24031149" w:rsidR="00A67BF9" w:rsidRPr="00EF5517" w:rsidRDefault="00A67BF9" w:rsidP="001D3DE5">
      <w:pPr>
        <w:pStyle w:val="ListParagraph"/>
        <w:tabs>
          <w:tab w:val="left" w:pos="442"/>
          <w:tab w:val="left" w:pos="10773"/>
        </w:tabs>
        <w:spacing w:before="66" w:after="200"/>
        <w:ind w:left="284" w:right="-164" w:firstLine="0"/>
        <w:jc w:val="both"/>
        <w:rPr>
          <w:rFonts w:ascii="Times New Roman" w:hAnsi="Times New Roman" w:cs="Times New Roman"/>
          <w:w w:val="105"/>
        </w:rPr>
      </w:pPr>
      <w:r w:rsidRPr="00EF5517">
        <w:rPr>
          <w:rFonts w:ascii="Times New Roman" w:hAnsi="Times New Roman" w:cs="Times New Roman"/>
          <w:w w:val="105"/>
        </w:rPr>
        <w:t xml:space="preserve">An Independent Director shall hold office for a term up to five consecutive years and will be eligible for re‐appointment upon passing of a </w:t>
      </w:r>
      <w:r w:rsidR="001D3DE5" w:rsidRPr="00EF5517">
        <w:rPr>
          <w:rFonts w:ascii="Times New Roman" w:hAnsi="Times New Roman" w:cs="Times New Roman"/>
          <w:w w:val="105"/>
        </w:rPr>
        <w:t xml:space="preserve">Special Resolution </w:t>
      </w:r>
      <w:r w:rsidRPr="00EF5517">
        <w:rPr>
          <w:rFonts w:ascii="Times New Roman" w:hAnsi="Times New Roman" w:cs="Times New Roman"/>
          <w:w w:val="105"/>
        </w:rPr>
        <w:t>by the Company and disclosure of such appointment in the Board's report.</w:t>
      </w:r>
    </w:p>
    <w:p w14:paraId="61872241" w14:textId="3029BEB4" w:rsidR="00A67BF9" w:rsidRPr="00EF5517" w:rsidRDefault="00A67BF9" w:rsidP="001D3DE5">
      <w:pPr>
        <w:pStyle w:val="ListParagraph"/>
        <w:tabs>
          <w:tab w:val="left" w:pos="442"/>
          <w:tab w:val="left" w:pos="10773"/>
        </w:tabs>
        <w:spacing w:before="66" w:after="200"/>
        <w:ind w:left="284" w:right="-164" w:firstLine="0"/>
        <w:jc w:val="both"/>
        <w:rPr>
          <w:rFonts w:ascii="Times New Roman" w:hAnsi="Times New Roman" w:cs="Times New Roman"/>
          <w:w w:val="105"/>
        </w:rPr>
      </w:pPr>
      <w:r w:rsidRPr="00EF5517">
        <w:rPr>
          <w:rFonts w:ascii="Times New Roman" w:hAnsi="Times New Roman" w:cs="Times New Roman"/>
          <w:w w:val="105"/>
        </w:rPr>
        <w:t>No Independent Director shall hold office for more than two consecutive terms of maximum 5 years each, but such Independent Director shall be eligible for appointment after expiry of three years of ceasing to become an Independent Director.</w:t>
      </w:r>
      <w:r w:rsidR="001D3DE5" w:rsidRPr="00EF5517">
        <w:rPr>
          <w:rFonts w:ascii="Times New Roman" w:hAnsi="Times New Roman" w:cs="Times New Roman"/>
          <w:w w:val="105"/>
        </w:rPr>
        <w:t xml:space="preserve"> </w:t>
      </w:r>
      <w:r w:rsidRPr="00EF5517">
        <w:rPr>
          <w:rFonts w:ascii="Times New Roman" w:hAnsi="Times New Roman" w:cs="Times New Roman"/>
          <w:w w:val="105"/>
        </w:rPr>
        <w:t>Provided that an Independent Director shall not, during the said period of three years, be appointed in or be associated with the Company in any other capacity, either directly or indirectly.</w:t>
      </w:r>
    </w:p>
    <w:p w14:paraId="37C8D4B4" w14:textId="078C6E17" w:rsidR="00A67BF9" w:rsidRPr="00EF5517" w:rsidRDefault="00A67BF9" w:rsidP="001D3DE5">
      <w:pPr>
        <w:pStyle w:val="ListParagraph"/>
        <w:tabs>
          <w:tab w:val="left" w:pos="442"/>
          <w:tab w:val="left" w:pos="10773"/>
        </w:tabs>
        <w:spacing w:before="66" w:after="200"/>
        <w:ind w:left="284" w:right="-164" w:firstLine="0"/>
        <w:jc w:val="both"/>
        <w:rPr>
          <w:rFonts w:ascii="Times New Roman" w:hAnsi="Times New Roman" w:cs="Times New Roman"/>
          <w:w w:val="105"/>
        </w:rPr>
      </w:pPr>
      <w:r w:rsidRPr="00EF5517">
        <w:rPr>
          <w:rFonts w:ascii="Times New Roman" w:hAnsi="Times New Roman" w:cs="Times New Roman"/>
          <w:w w:val="105"/>
        </w:rPr>
        <w:t xml:space="preserve">At the time of appointment of Independent Director, it should be ensured that number of Boards on which such Independent Director serves, is restricted to the maximum number prescribed </w:t>
      </w:r>
      <w:r w:rsidR="001D3DE5" w:rsidRPr="00EF5517">
        <w:rPr>
          <w:rFonts w:ascii="Times New Roman" w:hAnsi="Times New Roman" w:cs="Times New Roman"/>
          <w:w w:val="105"/>
        </w:rPr>
        <w:t>under the Act or the Listing Regulation.</w:t>
      </w:r>
    </w:p>
    <w:p w14:paraId="1B17D1C3" w14:textId="656180E5" w:rsidR="001D3DE5" w:rsidRPr="00EF5517" w:rsidRDefault="001D3DE5" w:rsidP="001D3DE5">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t>Evaluation:</w:t>
      </w:r>
    </w:p>
    <w:p w14:paraId="31680D72" w14:textId="1EA0875E" w:rsidR="001D3DE5" w:rsidRPr="00EF5517" w:rsidRDefault="001D3DE5" w:rsidP="001D3DE5">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Committee shall carry out evaluation of performance of every Direct KMP and Senior Management at regular intervals (yearly). The evaluation of performance of the Board, its Committees and Individual Directors to be carried out either by the Board, by the Committee or by an independent external agency and review its implementation and compliance</w:t>
      </w:r>
      <w:r w:rsidR="00D54D13">
        <w:rPr>
          <w:rFonts w:ascii="Times New Roman" w:hAnsi="Times New Roman" w:cs="Times New Roman"/>
          <w:w w:val="105"/>
          <w:sz w:val="22"/>
          <w:szCs w:val="22"/>
        </w:rPr>
        <w:t>.</w:t>
      </w:r>
    </w:p>
    <w:p w14:paraId="2E94CA0B" w14:textId="404BC45E" w:rsidR="00A67BF9" w:rsidRPr="00EF5517" w:rsidRDefault="001D3DE5" w:rsidP="001D3DE5">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t>Removal:</w:t>
      </w:r>
    </w:p>
    <w:p w14:paraId="4A028B2B" w14:textId="580E47D8" w:rsidR="00A67BF9" w:rsidRPr="00EF5517" w:rsidRDefault="00A67BF9" w:rsidP="001D3DE5">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Due to reasons for any disqualification mentioned in the Act, rules and regulations made</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thereunder, or under any other applicable law, or for any other compelling reasons, the</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Committee may recommend with reasons to be recorded in writing, removal of a Director, KMP or</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Senior Management Personnel subject to compliance of the provisions the Act, rules and</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regulations and the Policy of the Company.</w:t>
      </w:r>
    </w:p>
    <w:p w14:paraId="5EA1C1B1" w14:textId="202908AD" w:rsidR="00A67BF9" w:rsidRPr="00EF5517" w:rsidRDefault="001D3DE5" w:rsidP="001D3DE5">
      <w:pPr>
        <w:pStyle w:val="ListParagraph"/>
        <w:tabs>
          <w:tab w:val="left" w:pos="442"/>
          <w:tab w:val="left" w:pos="10773"/>
        </w:tabs>
        <w:spacing w:before="66" w:after="200"/>
        <w:ind w:left="-142" w:right="-164" w:firstLine="0"/>
        <w:jc w:val="both"/>
        <w:rPr>
          <w:rFonts w:ascii="Times New Roman" w:hAnsi="Times New Roman" w:cs="Times New Roman"/>
          <w:b/>
          <w:w w:val="105"/>
        </w:rPr>
      </w:pPr>
      <w:r w:rsidRPr="00EF5517">
        <w:rPr>
          <w:rFonts w:ascii="Times New Roman" w:hAnsi="Times New Roman" w:cs="Times New Roman"/>
          <w:b/>
          <w:w w:val="105"/>
        </w:rPr>
        <w:t>Retirement:</w:t>
      </w:r>
    </w:p>
    <w:p w14:paraId="772E6B1E" w14:textId="77777777" w:rsidR="00065BB3" w:rsidRPr="00EF5517" w:rsidRDefault="00A67BF9" w:rsidP="00065BB3">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Director, Key Managerial Personnel and Senior Management Personnel shall retire as per the</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applicable provisions of the Act and the prevailing Policy of the Company. The Board will have the</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 xml:space="preserve">discretion to retain the Director, Key Managerial Personnel, </w:t>
      </w:r>
      <w:r w:rsidR="00065BB3" w:rsidRPr="00EF5517">
        <w:rPr>
          <w:rFonts w:ascii="Times New Roman" w:hAnsi="Times New Roman" w:cs="Times New Roman"/>
          <w:w w:val="105"/>
          <w:sz w:val="22"/>
          <w:szCs w:val="22"/>
        </w:rPr>
        <w:t>and Senior Management Personnel in the same position/</w:t>
      </w:r>
      <w:r w:rsidRPr="00EF5517">
        <w:rPr>
          <w:rFonts w:ascii="Times New Roman" w:hAnsi="Times New Roman" w:cs="Times New Roman"/>
          <w:w w:val="105"/>
          <w:sz w:val="22"/>
          <w:szCs w:val="22"/>
        </w:rPr>
        <w:t xml:space="preserve"> remuneration or otherwise even after attaining the retirement age, for the benefit</w:t>
      </w:r>
      <w:r w:rsidR="001D3DE5" w:rsidRPr="00EF5517">
        <w:rPr>
          <w:rFonts w:ascii="Times New Roman" w:hAnsi="Times New Roman" w:cs="Times New Roman"/>
          <w:w w:val="105"/>
          <w:sz w:val="22"/>
          <w:szCs w:val="22"/>
        </w:rPr>
        <w:t xml:space="preserve"> </w:t>
      </w:r>
      <w:r w:rsidRPr="00EF5517">
        <w:rPr>
          <w:rFonts w:ascii="Times New Roman" w:hAnsi="Times New Roman" w:cs="Times New Roman"/>
          <w:w w:val="105"/>
          <w:sz w:val="22"/>
          <w:szCs w:val="22"/>
        </w:rPr>
        <w:t>of the Company</w:t>
      </w:r>
      <w:r w:rsidR="00065BB3" w:rsidRPr="00EF5517">
        <w:rPr>
          <w:rFonts w:ascii="Times New Roman" w:hAnsi="Times New Roman" w:cs="Times New Roman"/>
          <w:w w:val="105"/>
          <w:sz w:val="22"/>
          <w:szCs w:val="22"/>
        </w:rPr>
        <w:t>.</w:t>
      </w:r>
    </w:p>
    <w:p w14:paraId="0C1A75FB" w14:textId="448C24A0"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b/>
          <w:w w:val="105"/>
          <w:sz w:val="22"/>
          <w:szCs w:val="22"/>
        </w:rPr>
      </w:pPr>
      <w:r w:rsidRPr="00EF5517">
        <w:rPr>
          <w:rFonts w:ascii="Times New Roman" w:hAnsi="Times New Roman" w:cs="Times New Roman"/>
          <w:b/>
          <w:w w:val="105"/>
          <w:sz w:val="22"/>
          <w:szCs w:val="22"/>
        </w:rPr>
        <w:t>POLICY FOR REMUNERATION TO DIRECTORS/ KEY MANAGERIAL PERSONNEL/ OTHER EMPLOYEES</w:t>
      </w:r>
    </w:p>
    <w:p w14:paraId="2D3D4483" w14:textId="2EAF4145" w:rsidR="00065BB3" w:rsidRPr="00EF5517" w:rsidRDefault="00065BB3" w:rsidP="00EF5517">
      <w:pPr>
        <w:pStyle w:val="BodyText"/>
        <w:numPr>
          <w:ilvl w:val="0"/>
          <w:numId w:val="21"/>
        </w:numPr>
        <w:tabs>
          <w:tab w:val="left" w:pos="10773"/>
        </w:tabs>
        <w:spacing w:before="66" w:after="200" w:line="249" w:lineRule="auto"/>
        <w:ind w:left="284" w:right="-164"/>
        <w:jc w:val="both"/>
        <w:rPr>
          <w:rFonts w:ascii="Times New Roman" w:hAnsi="Times New Roman" w:cs="Times New Roman"/>
          <w:b/>
          <w:w w:val="105"/>
          <w:sz w:val="22"/>
          <w:szCs w:val="22"/>
        </w:rPr>
      </w:pPr>
      <w:r w:rsidRPr="00EF5517">
        <w:rPr>
          <w:rFonts w:ascii="Times New Roman" w:hAnsi="Times New Roman" w:cs="Times New Roman"/>
          <w:b/>
          <w:w w:val="105"/>
          <w:sz w:val="22"/>
          <w:szCs w:val="22"/>
        </w:rPr>
        <w:t>Remuneration to Managing Director/ Whole‐time Directors:</w:t>
      </w:r>
    </w:p>
    <w:p w14:paraId="1E06E763" w14:textId="77777777"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The remuneration/ commission, etc. to be paid to Managing Director / Whole‐time Directors, etc. shall be governed as per provisions of the Act and rules made there under or any other enactment for the time being in force and within the overall limits approved by the shareholders of the Company.</w:t>
      </w:r>
    </w:p>
    <w:p w14:paraId="1C57DAEB" w14:textId="2F6B0821" w:rsidR="00065BB3" w:rsidRPr="00EF5517" w:rsidRDefault="00065BB3" w:rsidP="00EF5517">
      <w:pPr>
        <w:pStyle w:val="BodyText"/>
        <w:numPr>
          <w:ilvl w:val="0"/>
          <w:numId w:val="21"/>
        </w:numPr>
        <w:tabs>
          <w:tab w:val="left" w:pos="10773"/>
        </w:tabs>
        <w:spacing w:before="66" w:after="200" w:line="249" w:lineRule="auto"/>
        <w:ind w:left="284" w:right="-164"/>
        <w:jc w:val="both"/>
        <w:rPr>
          <w:rFonts w:ascii="Times New Roman" w:hAnsi="Times New Roman" w:cs="Times New Roman"/>
          <w:b/>
          <w:w w:val="105"/>
          <w:sz w:val="22"/>
          <w:szCs w:val="22"/>
        </w:rPr>
      </w:pPr>
      <w:r w:rsidRPr="00EF5517">
        <w:rPr>
          <w:rFonts w:ascii="Times New Roman" w:hAnsi="Times New Roman" w:cs="Times New Roman"/>
          <w:b/>
          <w:w w:val="105"/>
          <w:sz w:val="22"/>
          <w:szCs w:val="22"/>
        </w:rPr>
        <w:t>Remuneration to Non‐ Executive/ Independent Directors:</w:t>
      </w:r>
    </w:p>
    <w:p w14:paraId="41C13B4E" w14:textId="77777777"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Overall remuneration should be reflective of the size of the Company, complexity of the sector/ industry/ Company's operations and the Company's capacity to pay the remuneration. </w:t>
      </w:r>
    </w:p>
    <w:p w14:paraId="17BDC617" w14:textId="0E780AC2"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b/>
          <w:w w:val="105"/>
          <w:sz w:val="22"/>
          <w:szCs w:val="22"/>
        </w:rPr>
      </w:pPr>
      <w:r w:rsidRPr="00EF5517">
        <w:rPr>
          <w:rFonts w:ascii="Times New Roman" w:hAnsi="Times New Roman" w:cs="Times New Roman"/>
          <w:w w:val="105"/>
          <w:sz w:val="22"/>
          <w:szCs w:val="22"/>
        </w:rPr>
        <w:t xml:space="preserve">Independent Directors may be paid sitting fees </w:t>
      </w:r>
      <w:r w:rsidRPr="00EF5517">
        <w:rPr>
          <w:rFonts w:ascii="Times New Roman" w:hAnsi="Times New Roman" w:cs="Times New Roman"/>
          <w:i/>
          <w:w w:val="105"/>
          <w:sz w:val="22"/>
          <w:szCs w:val="22"/>
        </w:rPr>
        <w:t>(for attending the meetings of the Board and of committees of which they may be members)</w:t>
      </w:r>
      <w:r w:rsidRPr="00EF5517">
        <w:rPr>
          <w:rFonts w:ascii="Times New Roman" w:hAnsi="Times New Roman" w:cs="Times New Roman"/>
          <w:w w:val="105"/>
          <w:sz w:val="22"/>
          <w:szCs w:val="22"/>
        </w:rPr>
        <w:t>. Quantum of sitting fees may be subject to review on a periodic basis, as required.</w:t>
      </w:r>
      <w:r w:rsidRPr="00EF5517">
        <w:rPr>
          <w:rFonts w:ascii="Times New Roman" w:hAnsi="Times New Roman" w:cs="Times New Roman"/>
          <w:b/>
          <w:w w:val="105"/>
          <w:sz w:val="22"/>
          <w:szCs w:val="22"/>
        </w:rPr>
        <w:t xml:space="preserve"> </w:t>
      </w:r>
    </w:p>
    <w:p w14:paraId="3D208C16" w14:textId="363CD1DE"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lastRenderedPageBreak/>
        <w:t xml:space="preserve">Overall remuneration (sitting fees) practices should be consistent with the </w:t>
      </w:r>
      <w:r w:rsidR="00D54D13" w:rsidRPr="00EF5517">
        <w:rPr>
          <w:rFonts w:ascii="Times New Roman" w:hAnsi="Times New Roman" w:cs="Times New Roman"/>
          <w:w w:val="105"/>
          <w:sz w:val="22"/>
          <w:szCs w:val="22"/>
        </w:rPr>
        <w:t>recognized</w:t>
      </w:r>
      <w:r w:rsidRPr="00EF5517">
        <w:rPr>
          <w:rFonts w:ascii="Times New Roman" w:hAnsi="Times New Roman" w:cs="Times New Roman"/>
          <w:w w:val="105"/>
          <w:sz w:val="22"/>
          <w:szCs w:val="22"/>
        </w:rPr>
        <w:t xml:space="preserve"> best practices. In addition to the sitting fees, the Company may pay/ reimburse to any Director such fair and reasonable expenditure, as may have been incurred by the Director while performing his/ her role as a Director of the Company.</w:t>
      </w:r>
    </w:p>
    <w:p w14:paraId="10A0EC21" w14:textId="40D919DB" w:rsidR="00065BB3" w:rsidRPr="00EF5517" w:rsidRDefault="00065BB3" w:rsidP="00EF5517">
      <w:pPr>
        <w:pStyle w:val="BodyText"/>
        <w:numPr>
          <w:ilvl w:val="0"/>
          <w:numId w:val="21"/>
        </w:numPr>
        <w:tabs>
          <w:tab w:val="left" w:pos="10773"/>
        </w:tabs>
        <w:spacing w:before="66" w:after="200" w:line="249" w:lineRule="auto"/>
        <w:ind w:left="284" w:right="-164"/>
        <w:jc w:val="both"/>
        <w:rPr>
          <w:rFonts w:ascii="Times New Roman" w:hAnsi="Times New Roman" w:cs="Times New Roman"/>
          <w:b/>
          <w:w w:val="105"/>
          <w:sz w:val="22"/>
          <w:szCs w:val="22"/>
        </w:rPr>
      </w:pPr>
      <w:r w:rsidRPr="00EF5517">
        <w:rPr>
          <w:rFonts w:ascii="Times New Roman" w:hAnsi="Times New Roman" w:cs="Times New Roman"/>
          <w:b/>
          <w:w w:val="105"/>
          <w:sz w:val="22"/>
          <w:szCs w:val="22"/>
        </w:rPr>
        <w:t>Remuneration to Key Managerial Personnel and Other Employees:</w:t>
      </w:r>
    </w:p>
    <w:p w14:paraId="1F975F92" w14:textId="77777777" w:rsidR="00065BB3"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The remuneration to Key Managerial Personnel and Other Employees shall consist of fixed pay and incentive pay, in compliance with the provisions of the Companies Act, 2013, other legislative enactments, if any, and in accordance with the Company's Policy. </w:t>
      </w:r>
    </w:p>
    <w:p w14:paraId="26DEF625" w14:textId="0A7A3102" w:rsidR="00A67BF9" w:rsidRPr="00EF5517" w:rsidRDefault="00065BB3" w:rsidP="00065BB3">
      <w:pPr>
        <w:pStyle w:val="BodyText"/>
        <w:tabs>
          <w:tab w:val="left" w:pos="10773"/>
        </w:tabs>
        <w:spacing w:before="66" w:after="200" w:line="249" w:lineRule="auto"/>
        <w:ind w:left="-142" w:right="-164"/>
        <w:jc w:val="both"/>
        <w:rPr>
          <w:rFonts w:ascii="Times New Roman" w:hAnsi="Times New Roman" w:cs="Times New Roman"/>
          <w:b/>
          <w:w w:val="105"/>
          <w:sz w:val="22"/>
          <w:szCs w:val="22"/>
        </w:rPr>
      </w:pPr>
      <w:r w:rsidRPr="00EF5517">
        <w:rPr>
          <w:rFonts w:ascii="Times New Roman" w:hAnsi="Times New Roman" w:cs="Times New Roman"/>
          <w:w w:val="105"/>
          <w:sz w:val="22"/>
          <w:szCs w:val="22"/>
        </w:rPr>
        <w:t xml:space="preserve">The fixed pay shall include monthly remuneration, employer’s contribution to provident fund, contribution to pension fund, pension schemes, etc. as decided from time to time. The compensation to Senior Management Personnel should be recommended to the Board by the Committee. </w:t>
      </w:r>
    </w:p>
    <w:p w14:paraId="53A0265F" w14:textId="77777777" w:rsidR="00C82A2B" w:rsidRPr="00EF5517" w:rsidRDefault="001530B1" w:rsidP="00943BC6">
      <w:pPr>
        <w:pStyle w:val="ListParagraph"/>
        <w:tabs>
          <w:tab w:val="left" w:pos="442"/>
          <w:tab w:val="left" w:pos="10773"/>
        </w:tabs>
        <w:spacing w:before="66" w:after="200"/>
        <w:ind w:left="-142" w:right="-164" w:firstLine="0"/>
        <w:jc w:val="both"/>
        <w:rPr>
          <w:rFonts w:ascii="Times New Roman" w:hAnsi="Times New Roman" w:cs="Times New Roman"/>
          <w:b/>
        </w:rPr>
      </w:pPr>
      <w:r w:rsidRPr="00EF5517">
        <w:rPr>
          <w:rFonts w:ascii="Times New Roman" w:hAnsi="Times New Roman" w:cs="Times New Roman"/>
          <w:b/>
          <w:w w:val="105"/>
        </w:rPr>
        <w:t>POLICY ON BOARD DIVERSITY</w:t>
      </w:r>
    </w:p>
    <w:p w14:paraId="41ECFBCE" w14:textId="27A8DEEA" w:rsidR="00C82A2B"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sz w:val="22"/>
          <w:szCs w:val="22"/>
        </w:rPr>
      </w:pPr>
      <w:r w:rsidRPr="00EF5517">
        <w:rPr>
          <w:rFonts w:ascii="Times New Roman" w:hAnsi="Times New Roman" w:cs="Times New Roman"/>
          <w:w w:val="105"/>
          <w:sz w:val="22"/>
          <w:szCs w:val="22"/>
        </w:rPr>
        <w:t>The Committee should ensure that the Board of the Company comprises of individuals having appropriate qualification &amp; experience in accordance with Board Diversity Policy as set out in Policy on Diversity of Board of Directors.</w:t>
      </w:r>
    </w:p>
    <w:p w14:paraId="3763EABC" w14:textId="77777777" w:rsidR="00EF5517"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b/>
          <w:w w:val="105"/>
          <w:sz w:val="22"/>
          <w:szCs w:val="22"/>
        </w:rPr>
        <w:t>AMENDMENT</w:t>
      </w:r>
    </w:p>
    <w:p w14:paraId="0F3106B7" w14:textId="77777777" w:rsidR="00EF5517"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Any change in the Policy shall be approved by the Board of the Company. The Board shall have the right to withdraw and/ or amend any part of this Policy or the entire Policy, at any time, as it deems fit, or from time to time, and the decision of the Board in this respect shall be final and binding. </w:t>
      </w:r>
    </w:p>
    <w:p w14:paraId="66DB5AD8" w14:textId="77777777" w:rsidR="00EF5517" w:rsidRPr="00EF5517" w:rsidRDefault="00EF5517" w:rsidP="00EF5517">
      <w:pPr>
        <w:pStyle w:val="BodyText"/>
        <w:tabs>
          <w:tab w:val="left" w:pos="10773"/>
        </w:tabs>
        <w:spacing w:before="66" w:after="200" w:line="249"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In case any provisions of the Policy are contrary to or inconsistent with the provisions of the Companies Act, 2013, rules framed thereunder and Listing Regulations (“Statutory Provisions”), the provisions of Statutory Provisions shall prevail.</w:t>
      </w:r>
    </w:p>
    <w:p w14:paraId="0838EB6F" w14:textId="77777777" w:rsidR="00EF5517" w:rsidRPr="00EF5517" w:rsidRDefault="00EF5517" w:rsidP="00EF5517">
      <w:pPr>
        <w:tabs>
          <w:tab w:val="left" w:pos="1458"/>
          <w:tab w:val="left" w:pos="1459"/>
          <w:tab w:val="left" w:pos="10773"/>
        </w:tabs>
        <w:spacing w:before="66" w:after="240"/>
        <w:ind w:left="-142" w:right="-164"/>
        <w:rPr>
          <w:rFonts w:ascii="Times New Roman" w:hAnsi="Times New Roman" w:cs="Times New Roman"/>
          <w:b/>
          <w:w w:val="105"/>
        </w:rPr>
      </w:pPr>
      <w:r w:rsidRPr="00EF5517">
        <w:rPr>
          <w:rFonts w:ascii="Times New Roman" w:hAnsi="Times New Roman" w:cs="Times New Roman"/>
          <w:b/>
          <w:w w:val="105"/>
        </w:rPr>
        <w:t>DISSEMINATION OF THE POLICY</w:t>
      </w:r>
    </w:p>
    <w:p w14:paraId="0AACC86F" w14:textId="75B6F28A" w:rsidR="00EF5517" w:rsidRPr="00EF5517" w:rsidRDefault="00EF5517" w:rsidP="00EF5517">
      <w:pPr>
        <w:pStyle w:val="BodyText"/>
        <w:tabs>
          <w:tab w:val="left" w:pos="10773"/>
        </w:tabs>
        <w:spacing w:before="66" w:after="240" w:line="276" w:lineRule="auto"/>
        <w:ind w:left="-142" w:right="-164"/>
        <w:jc w:val="both"/>
        <w:rPr>
          <w:rFonts w:ascii="Times New Roman" w:hAnsi="Times New Roman" w:cs="Times New Roman"/>
          <w:w w:val="105"/>
          <w:sz w:val="22"/>
          <w:szCs w:val="22"/>
        </w:rPr>
      </w:pPr>
      <w:r w:rsidRPr="00EF5517">
        <w:rPr>
          <w:rFonts w:ascii="Times New Roman" w:hAnsi="Times New Roman" w:cs="Times New Roman"/>
          <w:w w:val="105"/>
          <w:sz w:val="22"/>
          <w:szCs w:val="22"/>
        </w:rPr>
        <w:t xml:space="preserve">The policy shall be hosted on the website of the Company i.e. </w:t>
      </w:r>
      <w:hyperlink r:id="rId9" w:history="1">
        <w:r w:rsidR="009A7B95" w:rsidRPr="009A7B95">
          <w:rPr>
            <w:rFonts w:ascii="Times New Roman" w:eastAsia="Times New Roman" w:hAnsi="Times New Roman" w:cs="Times New Roman"/>
            <w:color w:val="0000FF"/>
            <w:w w:val="105"/>
            <w:sz w:val="22"/>
            <w:szCs w:val="22"/>
            <w:u w:val="single"/>
          </w:rPr>
          <w:t>https://www.baikakajipolymers.com</w:t>
        </w:r>
      </w:hyperlink>
      <w:r w:rsidR="00301121">
        <w:rPr>
          <w:rFonts w:ascii="Times New Roman" w:hAnsi="Times New Roman" w:cs="Times New Roman"/>
          <w:w w:val="105"/>
          <w:sz w:val="22"/>
          <w:szCs w:val="22"/>
        </w:rPr>
        <w:t xml:space="preserve"> </w:t>
      </w:r>
    </w:p>
    <w:p w14:paraId="3EEE6C83" w14:textId="77777777" w:rsidR="008F0CAB" w:rsidRPr="003E1BD3" w:rsidRDefault="008F0CAB" w:rsidP="008F0CAB">
      <w:pPr>
        <w:pStyle w:val="Heading1"/>
        <w:spacing w:before="66" w:after="200"/>
        <w:ind w:left="-142" w:right="-164"/>
        <w:jc w:val="center"/>
        <w:rPr>
          <w:rFonts w:ascii="Times New Roman" w:eastAsia="Times New Roman" w:hAnsi="Times New Roman" w:cs="Times New Roman"/>
          <w:color w:val="auto"/>
        </w:rPr>
      </w:pPr>
      <w:r w:rsidRPr="003E1BD3">
        <w:rPr>
          <w:rFonts w:ascii="Times New Roman" w:hAnsi="Times New Roman" w:cs="Times New Roman"/>
          <w:color w:val="auto"/>
        </w:rPr>
        <w:t>*************</w:t>
      </w:r>
    </w:p>
    <w:p w14:paraId="21920C43" w14:textId="77777777" w:rsidR="00EF5517" w:rsidRPr="008F0CAB" w:rsidRDefault="00EF5517" w:rsidP="008F0CAB">
      <w:pPr>
        <w:pStyle w:val="BodyText"/>
        <w:spacing w:before="66" w:line="276" w:lineRule="auto"/>
        <w:ind w:left="-142" w:right="-164"/>
        <w:jc w:val="center"/>
        <w:rPr>
          <w:sz w:val="18"/>
        </w:rPr>
      </w:pPr>
    </w:p>
    <w:p w14:paraId="7AED3A2E" w14:textId="77777777" w:rsidR="00EF5517" w:rsidRDefault="00EF5517" w:rsidP="00EF5517">
      <w:pPr>
        <w:pStyle w:val="BodyText"/>
        <w:spacing w:before="66" w:line="276" w:lineRule="auto"/>
        <w:ind w:left="-142" w:right="-164"/>
        <w:jc w:val="both"/>
        <w:rPr>
          <w:i/>
          <w:sz w:val="18"/>
        </w:rPr>
      </w:pPr>
    </w:p>
    <w:p w14:paraId="0712861E" w14:textId="77777777" w:rsidR="00EF5517" w:rsidRDefault="00EF5517" w:rsidP="00EF5517">
      <w:pPr>
        <w:pStyle w:val="BodyText"/>
        <w:spacing w:before="66" w:line="276" w:lineRule="auto"/>
        <w:ind w:left="-142" w:right="-164"/>
        <w:jc w:val="both"/>
        <w:rPr>
          <w:i/>
          <w:sz w:val="18"/>
        </w:rPr>
      </w:pPr>
    </w:p>
    <w:p w14:paraId="6CAFCEEA" w14:textId="77777777" w:rsidR="00EF5517" w:rsidRDefault="00EF5517" w:rsidP="00EF5517">
      <w:pPr>
        <w:pStyle w:val="BodyText"/>
        <w:spacing w:before="66" w:line="276" w:lineRule="auto"/>
        <w:ind w:left="-142" w:right="-164"/>
        <w:jc w:val="both"/>
        <w:rPr>
          <w:i/>
          <w:sz w:val="18"/>
        </w:rPr>
      </w:pPr>
    </w:p>
    <w:p w14:paraId="2FA1D2AE" w14:textId="77777777" w:rsidR="00EF5517" w:rsidRDefault="00EF5517" w:rsidP="00EF5517">
      <w:pPr>
        <w:pStyle w:val="BodyText"/>
        <w:spacing w:before="66" w:line="276" w:lineRule="auto"/>
        <w:ind w:left="-142" w:right="-164"/>
        <w:jc w:val="both"/>
        <w:rPr>
          <w:i/>
          <w:sz w:val="18"/>
        </w:rPr>
      </w:pPr>
    </w:p>
    <w:p w14:paraId="6E1C37CC" w14:textId="77777777" w:rsidR="00EF5517" w:rsidRDefault="00EF5517" w:rsidP="00EF5517">
      <w:pPr>
        <w:pStyle w:val="BodyText"/>
        <w:spacing w:before="66" w:line="276" w:lineRule="auto"/>
        <w:ind w:left="-142" w:right="-164"/>
        <w:jc w:val="both"/>
        <w:rPr>
          <w:i/>
          <w:sz w:val="18"/>
        </w:rPr>
      </w:pPr>
    </w:p>
    <w:p w14:paraId="4B957E1A" w14:textId="77777777" w:rsidR="00EF5517" w:rsidRDefault="00EF5517" w:rsidP="00EF5517">
      <w:pPr>
        <w:pStyle w:val="BodyText"/>
        <w:spacing w:before="66" w:line="276" w:lineRule="auto"/>
        <w:ind w:left="-142" w:right="-164"/>
        <w:jc w:val="both"/>
        <w:rPr>
          <w:i/>
          <w:sz w:val="18"/>
        </w:rPr>
      </w:pPr>
    </w:p>
    <w:p w14:paraId="411381FD" w14:textId="77777777" w:rsidR="00EF5517" w:rsidRDefault="00EF5517" w:rsidP="00EF5517">
      <w:pPr>
        <w:pStyle w:val="BodyText"/>
        <w:spacing w:before="66" w:line="276" w:lineRule="auto"/>
        <w:ind w:left="-142" w:right="-164"/>
        <w:jc w:val="both"/>
        <w:rPr>
          <w:i/>
          <w:sz w:val="18"/>
        </w:rPr>
      </w:pPr>
    </w:p>
    <w:p w14:paraId="246E98E2" w14:textId="77777777" w:rsidR="00EF5517" w:rsidRDefault="00EF5517" w:rsidP="00EF5517">
      <w:pPr>
        <w:pStyle w:val="BodyText"/>
        <w:spacing w:before="66" w:line="276" w:lineRule="auto"/>
        <w:ind w:left="-142" w:right="-164"/>
        <w:jc w:val="both"/>
        <w:rPr>
          <w:i/>
          <w:sz w:val="18"/>
        </w:rPr>
      </w:pPr>
    </w:p>
    <w:p w14:paraId="41EBE500" w14:textId="77777777" w:rsidR="00EF5517" w:rsidRDefault="00EF5517" w:rsidP="00EF5517">
      <w:pPr>
        <w:pStyle w:val="BodyText"/>
        <w:spacing w:before="66" w:line="276" w:lineRule="auto"/>
        <w:ind w:left="-142" w:right="-164"/>
        <w:jc w:val="both"/>
        <w:rPr>
          <w:i/>
          <w:sz w:val="18"/>
        </w:rPr>
      </w:pPr>
    </w:p>
    <w:p w14:paraId="11BD151B" w14:textId="77777777" w:rsidR="00EF5517" w:rsidRDefault="00EF5517" w:rsidP="00EF5517">
      <w:pPr>
        <w:pStyle w:val="BodyText"/>
        <w:spacing w:before="66" w:line="276" w:lineRule="auto"/>
        <w:ind w:left="-142" w:right="-164"/>
        <w:jc w:val="both"/>
        <w:rPr>
          <w:i/>
          <w:sz w:val="18"/>
        </w:rPr>
      </w:pPr>
    </w:p>
    <w:p w14:paraId="1DDF7A10" w14:textId="77777777" w:rsidR="00EF5517" w:rsidRDefault="00EF5517" w:rsidP="00EF5517">
      <w:pPr>
        <w:pStyle w:val="BodyText"/>
        <w:spacing w:before="66" w:line="276" w:lineRule="auto"/>
        <w:ind w:left="-142" w:right="-164"/>
        <w:jc w:val="both"/>
        <w:rPr>
          <w:i/>
          <w:sz w:val="18"/>
        </w:rPr>
      </w:pPr>
    </w:p>
    <w:p w14:paraId="26625595" w14:textId="77777777" w:rsidR="00EF5517" w:rsidRPr="00196D53" w:rsidRDefault="00EF5517" w:rsidP="00EF5517">
      <w:pPr>
        <w:pStyle w:val="BodyText"/>
        <w:spacing w:before="66" w:line="276" w:lineRule="auto"/>
        <w:ind w:left="-142" w:right="-164"/>
        <w:jc w:val="both"/>
        <w:rPr>
          <w:rFonts w:ascii="Times New Roman" w:hAnsi="Times New Roman" w:cs="Times New Roman"/>
          <w:i/>
          <w:sz w:val="18"/>
        </w:rPr>
      </w:pPr>
    </w:p>
    <w:p w14:paraId="6125CB5D" w14:textId="77777777" w:rsidR="009A7B95" w:rsidRPr="001A52F3" w:rsidRDefault="009A7B95" w:rsidP="009A7B95">
      <w:pPr>
        <w:pStyle w:val="BodyText"/>
        <w:spacing w:before="26"/>
        <w:ind w:left="-142" w:right="-165"/>
        <w:jc w:val="both"/>
        <w:rPr>
          <w:i/>
          <w:sz w:val="18"/>
        </w:rPr>
      </w:pPr>
      <w:bookmarkStart w:id="0" w:name="_GoBack"/>
      <w:r w:rsidRPr="001A52F3">
        <w:rPr>
          <w:i/>
          <w:sz w:val="18"/>
        </w:rPr>
        <w:t>Effective Date: May 23, 2025</w:t>
      </w:r>
    </w:p>
    <w:p w14:paraId="01F7936B" w14:textId="77777777" w:rsidR="009A7B95" w:rsidRPr="00E215DE" w:rsidRDefault="009A7B95" w:rsidP="009A7B95">
      <w:pPr>
        <w:pStyle w:val="BodyText"/>
        <w:spacing w:before="26"/>
        <w:ind w:left="-142" w:right="-165"/>
        <w:jc w:val="both"/>
      </w:pPr>
      <w:r w:rsidRPr="001A52F3">
        <w:rPr>
          <w:i/>
          <w:sz w:val="18"/>
        </w:rPr>
        <w:t xml:space="preserve">Date of Approval by Board of Directors: </w:t>
      </w:r>
      <w:r>
        <w:rPr>
          <w:i/>
          <w:sz w:val="18"/>
        </w:rPr>
        <w:t>May 23, 2025</w:t>
      </w:r>
    </w:p>
    <w:bookmarkEnd w:id="0"/>
    <w:p w14:paraId="3581BA71" w14:textId="1798EF6C" w:rsidR="00D51343" w:rsidRPr="00196D53" w:rsidRDefault="00D51343" w:rsidP="009A7B95">
      <w:pPr>
        <w:pStyle w:val="BodyText"/>
        <w:spacing w:before="66" w:line="276" w:lineRule="auto"/>
        <w:ind w:left="-142" w:right="-164"/>
        <w:jc w:val="both"/>
        <w:rPr>
          <w:rFonts w:ascii="Times New Roman" w:hAnsi="Times New Roman" w:cs="Times New Roman"/>
          <w:sz w:val="22"/>
          <w:szCs w:val="22"/>
        </w:rPr>
      </w:pPr>
    </w:p>
    <w:sectPr w:rsidR="00D51343" w:rsidRPr="00196D53" w:rsidSect="0010179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1A015" w14:textId="77777777" w:rsidR="004B1CC9" w:rsidRDefault="004B1CC9">
      <w:r>
        <w:separator/>
      </w:r>
    </w:p>
  </w:endnote>
  <w:endnote w:type="continuationSeparator" w:id="0">
    <w:p w14:paraId="3A48DE8C" w14:textId="77777777" w:rsidR="004B1CC9" w:rsidRDefault="004B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AE8E7" w14:textId="77777777" w:rsidR="00414382" w:rsidRDefault="00414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1A970" w14:textId="77777777" w:rsidR="00E42F9C" w:rsidRDefault="00E42F9C">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52C8" w14:textId="77777777" w:rsidR="00414382" w:rsidRDefault="00414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30708" w14:textId="77777777" w:rsidR="004B1CC9" w:rsidRDefault="004B1CC9">
      <w:r>
        <w:separator/>
      </w:r>
    </w:p>
  </w:footnote>
  <w:footnote w:type="continuationSeparator" w:id="0">
    <w:p w14:paraId="34824AEA" w14:textId="77777777" w:rsidR="004B1CC9" w:rsidRDefault="004B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BE45" w14:textId="77777777" w:rsidR="00414382" w:rsidRDefault="004143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A2E3" w14:textId="77777777" w:rsidR="007013C8" w:rsidRDefault="008C0178" w:rsidP="00101794">
    <w:pPr>
      <w:pStyle w:val="Header"/>
      <w:rPr>
        <w:i/>
      </w:rPr>
    </w:pPr>
    <w:r>
      <w:rPr>
        <w:rFonts w:ascii="Bookman Old Style" w:hAnsi="Bookman Old Style"/>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7049" w14:textId="77777777" w:rsidR="00414382" w:rsidRDefault="00414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0566"/>
    <w:multiLevelType w:val="hybridMultilevel"/>
    <w:tmpl w:val="8B50EB38"/>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
    <w:nsid w:val="080E37FE"/>
    <w:multiLevelType w:val="hybridMultilevel"/>
    <w:tmpl w:val="96BE5CF4"/>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
    <w:nsid w:val="088F148A"/>
    <w:multiLevelType w:val="hybridMultilevel"/>
    <w:tmpl w:val="67721F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F64DB2"/>
    <w:multiLevelType w:val="hybridMultilevel"/>
    <w:tmpl w:val="13BC6FEA"/>
    <w:lvl w:ilvl="0" w:tplc="E1AE4CF8">
      <w:start w:val="1"/>
      <w:numFmt w:val="decimal"/>
      <w:lvlText w:val="%1."/>
      <w:lvlJc w:val="left"/>
      <w:pPr>
        <w:ind w:left="441" w:hanging="339"/>
      </w:pPr>
      <w:rPr>
        <w:rFonts w:ascii="Times New Roman" w:eastAsia="Carlito" w:hAnsi="Times New Roman" w:cs="Times New Roman" w:hint="default"/>
        <w:b/>
        <w:bCs/>
        <w:w w:val="103"/>
        <w:sz w:val="20"/>
        <w:szCs w:val="20"/>
        <w:lang w:val="en-US" w:eastAsia="en-US" w:bidi="ar-SA"/>
      </w:rPr>
    </w:lvl>
    <w:lvl w:ilvl="1" w:tplc="E0A835BC">
      <w:start w:val="1"/>
      <w:numFmt w:val="lowerLetter"/>
      <w:lvlText w:val="%2)"/>
      <w:lvlJc w:val="left"/>
      <w:pPr>
        <w:ind w:left="780" w:hanging="339"/>
      </w:pPr>
      <w:rPr>
        <w:rFonts w:ascii="Times New Roman" w:eastAsia="Carlito" w:hAnsi="Times New Roman" w:cs="Times New Roman" w:hint="default"/>
        <w:b w:val="0"/>
        <w:bCs/>
        <w:spacing w:val="0"/>
        <w:w w:val="103"/>
        <w:sz w:val="22"/>
        <w:szCs w:val="20"/>
        <w:lang w:val="en-US" w:eastAsia="en-US" w:bidi="ar-SA"/>
      </w:rPr>
    </w:lvl>
    <w:lvl w:ilvl="2" w:tplc="B0843EDC">
      <w:numFmt w:val="bullet"/>
      <w:lvlText w:val=""/>
      <w:lvlJc w:val="left"/>
      <w:pPr>
        <w:ind w:left="1119" w:hanging="339"/>
      </w:pPr>
      <w:rPr>
        <w:rFonts w:ascii="Symbol" w:eastAsia="Symbol" w:hAnsi="Symbol" w:cs="Symbol" w:hint="default"/>
        <w:w w:val="103"/>
        <w:sz w:val="20"/>
        <w:szCs w:val="20"/>
        <w:lang w:val="en-US" w:eastAsia="en-US" w:bidi="ar-SA"/>
      </w:rPr>
    </w:lvl>
    <w:lvl w:ilvl="3" w:tplc="E59040C0">
      <w:numFmt w:val="bullet"/>
      <w:lvlText w:val="•"/>
      <w:lvlJc w:val="left"/>
      <w:pPr>
        <w:ind w:left="1189" w:hanging="339"/>
      </w:pPr>
      <w:rPr>
        <w:rFonts w:hint="default"/>
        <w:lang w:val="en-US" w:eastAsia="en-US" w:bidi="ar-SA"/>
      </w:rPr>
    </w:lvl>
    <w:lvl w:ilvl="4" w:tplc="89DAE1C6">
      <w:numFmt w:val="bullet"/>
      <w:lvlText w:val="•"/>
      <w:lvlJc w:val="left"/>
      <w:pPr>
        <w:ind w:left="1258" w:hanging="339"/>
      </w:pPr>
      <w:rPr>
        <w:rFonts w:hint="default"/>
        <w:lang w:val="en-US" w:eastAsia="en-US" w:bidi="ar-SA"/>
      </w:rPr>
    </w:lvl>
    <w:lvl w:ilvl="5" w:tplc="E6F4D0D4">
      <w:numFmt w:val="bullet"/>
      <w:lvlText w:val="•"/>
      <w:lvlJc w:val="left"/>
      <w:pPr>
        <w:ind w:left="1327" w:hanging="339"/>
      </w:pPr>
      <w:rPr>
        <w:rFonts w:hint="default"/>
        <w:lang w:val="en-US" w:eastAsia="en-US" w:bidi="ar-SA"/>
      </w:rPr>
    </w:lvl>
    <w:lvl w:ilvl="6" w:tplc="DC58A2CA">
      <w:numFmt w:val="bullet"/>
      <w:lvlText w:val="•"/>
      <w:lvlJc w:val="left"/>
      <w:pPr>
        <w:ind w:left="1396" w:hanging="339"/>
      </w:pPr>
      <w:rPr>
        <w:rFonts w:hint="default"/>
        <w:lang w:val="en-US" w:eastAsia="en-US" w:bidi="ar-SA"/>
      </w:rPr>
    </w:lvl>
    <w:lvl w:ilvl="7" w:tplc="BEDCB15A">
      <w:numFmt w:val="bullet"/>
      <w:lvlText w:val="•"/>
      <w:lvlJc w:val="left"/>
      <w:pPr>
        <w:ind w:left="1466" w:hanging="339"/>
      </w:pPr>
      <w:rPr>
        <w:rFonts w:hint="default"/>
        <w:lang w:val="en-US" w:eastAsia="en-US" w:bidi="ar-SA"/>
      </w:rPr>
    </w:lvl>
    <w:lvl w:ilvl="8" w:tplc="51C8C052">
      <w:numFmt w:val="bullet"/>
      <w:lvlText w:val="•"/>
      <w:lvlJc w:val="left"/>
      <w:pPr>
        <w:ind w:left="1535" w:hanging="339"/>
      </w:pPr>
      <w:rPr>
        <w:rFonts w:hint="default"/>
        <w:lang w:val="en-US" w:eastAsia="en-US" w:bidi="ar-SA"/>
      </w:rPr>
    </w:lvl>
  </w:abstractNum>
  <w:abstractNum w:abstractNumId="4">
    <w:nsid w:val="14676C32"/>
    <w:multiLevelType w:val="hybridMultilevel"/>
    <w:tmpl w:val="93F6BEFE"/>
    <w:lvl w:ilvl="0" w:tplc="CE32FD5E">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5">
    <w:nsid w:val="14AF2021"/>
    <w:multiLevelType w:val="hybridMultilevel"/>
    <w:tmpl w:val="802A60CC"/>
    <w:lvl w:ilvl="0" w:tplc="40090001">
      <w:start w:val="1"/>
      <w:numFmt w:val="bullet"/>
      <w:lvlText w:val=""/>
      <w:lvlJc w:val="left"/>
      <w:pPr>
        <w:ind w:left="381" w:hanging="360"/>
      </w:pPr>
      <w:rPr>
        <w:rFonts w:ascii="Symbol" w:hAnsi="Symbol" w:hint="default"/>
      </w:rPr>
    </w:lvl>
    <w:lvl w:ilvl="1" w:tplc="40090003" w:tentative="1">
      <w:start w:val="1"/>
      <w:numFmt w:val="bullet"/>
      <w:lvlText w:val="o"/>
      <w:lvlJc w:val="left"/>
      <w:pPr>
        <w:ind w:left="1101" w:hanging="360"/>
      </w:pPr>
      <w:rPr>
        <w:rFonts w:ascii="Courier New" w:hAnsi="Courier New" w:cs="Courier New" w:hint="default"/>
      </w:rPr>
    </w:lvl>
    <w:lvl w:ilvl="2" w:tplc="40090005" w:tentative="1">
      <w:start w:val="1"/>
      <w:numFmt w:val="bullet"/>
      <w:lvlText w:val=""/>
      <w:lvlJc w:val="left"/>
      <w:pPr>
        <w:ind w:left="1821" w:hanging="360"/>
      </w:pPr>
      <w:rPr>
        <w:rFonts w:ascii="Wingdings" w:hAnsi="Wingdings" w:hint="default"/>
      </w:rPr>
    </w:lvl>
    <w:lvl w:ilvl="3" w:tplc="40090001" w:tentative="1">
      <w:start w:val="1"/>
      <w:numFmt w:val="bullet"/>
      <w:lvlText w:val=""/>
      <w:lvlJc w:val="left"/>
      <w:pPr>
        <w:ind w:left="2541" w:hanging="360"/>
      </w:pPr>
      <w:rPr>
        <w:rFonts w:ascii="Symbol" w:hAnsi="Symbol" w:hint="default"/>
      </w:rPr>
    </w:lvl>
    <w:lvl w:ilvl="4" w:tplc="40090003" w:tentative="1">
      <w:start w:val="1"/>
      <w:numFmt w:val="bullet"/>
      <w:lvlText w:val="o"/>
      <w:lvlJc w:val="left"/>
      <w:pPr>
        <w:ind w:left="3261" w:hanging="360"/>
      </w:pPr>
      <w:rPr>
        <w:rFonts w:ascii="Courier New" w:hAnsi="Courier New" w:cs="Courier New" w:hint="default"/>
      </w:rPr>
    </w:lvl>
    <w:lvl w:ilvl="5" w:tplc="40090005" w:tentative="1">
      <w:start w:val="1"/>
      <w:numFmt w:val="bullet"/>
      <w:lvlText w:val=""/>
      <w:lvlJc w:val="left"/>
      <w:pPr>
        <w:ind w:left="3981" w:hanging="360"/>
      </w:pPr>
      <w:rPr>
        <w:rFonts w:ascii="Wingdings" w:hAnsi="Wingdings" w:hint="default"/>
      </w:rPr>
    </w:lvl>
    <w:lvl w:ilvl="6" w:tplc="40090001" w:tentative="1">
      <w:start w:val="1"/>
      <w:numFmt w:val="bullet"/>
      <w:lvlText w:val=""/>
      <w:lvlJc w:val="left"/>
      <w:pPr>
        <w:ind w:left="4701" w:hanging="360"/>
      </w:pPr>
      <w:rPr>
        <w:rFonts w:ascii="Symbol" w:hAnsi="Symbol" w:hint="default"/>
      </w:rPr>
    </w:lvl>
    <w:lvl w:ilvl="7" w:tplc="40090003" w:tentative="1">
      <w:start w:val="1"/>
      <w:numFmt w:val="bullet"/>
      <w:lvlText w:val="o"/>
      <w:lvlJc w:val="left"/>
      <w:pPr>
        <w:ind w:left="5421" w:hanging="360"/>
      </w:pPr>
      <w:rPr>
        <w:rFonts w:ascii="Courier New" w:hAnsi="Courier New" w:cs="Courier New" w:hint="default"/>
      </w:rPr>
    </w:lvl>
    <w:lvl w:ilvl="8" w:tplc="40090005" w:tentative="1">
      <w:start w:val="1"/>
      <w:numFmt w:val="bullet"/>
      <w:lvlText w:val=""/>
      <w:lvlJc w:val="left"/>
      <w:pPr>
        <w:ind w:left="6141" w:hanging="360"/>
      </w:pPr>
      <w:rPr>
        <w:rFonts w:ascii="Wingdings" w:hAnsi="Wingdings" w:hint="default"/>
      </w:rPr>
    </w:lvl>
  </w:abstractNum>
  <w:abstractNum w:abstractNumId="6">
    <w:nsid w:val="160742B0"/>
    <w:multiLevelType w:val="hybridMultilevel"/>
    <w:tmpl w:val="532ACBA0"/>
    <w:lvl w:ilvl="0" w:tplc="7D02559A">
      <w:start w:val="1"/>
      <w:numFmt w:val="lowerRoman"/>
      <w:lvlText w:val="%1."/>
      <w:lvlJc w:val="left"/>
      <w:pPr>
        <w:ind w:left="578" w:hanging="72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nsid w:val="185E0736"/>
    <w:multiLevelType w:val="hybridMultilevel"/>
    <w:tmpl w:val="929E5C98"/>
    <w:lvl w:ilvl="0" w:tplc="06289AB6">
      <w:start w:val="1"/>
      <w:numFmt w:val="lowerRoman"/>
      <w:lvlText w:val="%1."/>
      <w:lvlJc w:val="left"/>
      <w:pPr>
        <w:ind w:left="-242" w:hanging="720"/>
      </w:pPr>
      <w:rPr>
        <w:rFonts w:hint="default"/>
      </w:rPr>
    </w:lvl>
    <w:lvl w:ilvl="1" w:tplc="40090019" w:tentative="1">
      <w:start w:val="1"/>
      <w:numFmt w:val="lowerLetter"/>
      <w:lvlText w:val="%2."/>
      <w:lvlJc w:val="left"/>
      <w:pPr>
        <w:ind w:left="959" w:hanging="360"/>
      </w:pPr>
    </w:lvl>
    <w:lvl w:ilvl="2" w:tplc="4009001B" w:tentative="1">
      <w:start w:val="1"/>
      <w:numFmt w:val="lowerRoman"/>
      <w:lvlText w:val="%3."/>
      <w:lvlJc w:val="right"/>
      <w:pPr>
        <w:ind w:left="1679" w:hanging="180"/>
      </w:pPr>
    </w:lvl>
    <w:lvl w:ilvl="3" w:tplc="4009000F" w:tentative="1">
      <w:start w:val="1"/>
      <w:numFmt w:val="decimal"/>
      <w:lvlText w:val="%4."/>
      <w:lvlJc w:val="left"/>
      <w:pPr>
        <w:ind w:left="2399" w:hanging="360"/>
      </w:pPr>
    </w:lvl>
    <w:lvl w:ilvl="4" w:tplc="40090019" w:tentative="1">
      <w:start w:val="1"/>
      <w:numFmt w:val="lowerLetter"/>
      <w:lvlText w:val="%5."/>
      <w:lvlJc w:val="left"/>
      <w:pPr>
        <w:ind w:left="3119" w:hanging="360"/>
      </w:pPr>
    </w:lvl>
    <w:lvl w:ilvl="5" w:tplc="4009001B" w:tentative="1">
      <w:start w:val="1"/>
      <w:numFmt w:val="lowerRoman"/>
      <w:lvlText w:val="%6."/>
      <w:lvlJc w:val="right"/>
      <w:pPr>
        <w:ind w:left="3839" w:hanging="180"/>
      </w:pPr>
    </w:lvl>
    <w:lvl w:ilvl="6" w:tplc="4009000F" w:tentative="1">
      <w:start w:val="1"/>
      <w:numFmt w:val="decimal"/>
      <w:lvlText w:val="%7."/>
      <w:lvlJc w:val="left"/>
      <w:pPr>
        <w:ind w:left="4559" w:hanging="360"/>
      </w:pPr>
    </w:lvl>
    <w:lvl w:ilvl="7" w:tplc="40090019" w:tentative="1">
      <w:start w:val="1"/>
      <w:numFmt w:val="lowerLetter"/>
      <w:lvlText w:val="%8."/>
      <w:lvlJc w:val="left"/>
      <w:pPr>
        <w:ind w:left="5279" w:hanging="360"/>
      </w:pPr>
    </w:lvl>
    <w:lvl w:ilvl="8" w:tplc="4009001B" w:tentative="1">
      <w:start w:val="1"/>
      <w:numFmt w:val="lowerRoman"/>
      <w:lvlText w:val="%9."/>
      <w:lvlJc w:val="right"/>
      <w:pPr>
        <w:ind w:left="5999" w:hanging="180"/>
      </w:pPr>
    </w:lvl>
  </w:abstractNum>
  <w:abstractNum w:abstractNumId="8">
    <w:nsid w:val="2080137D"/>
    <w:multiLevelType w:val="hybridMultilevel"/>
    <w:tmpl w:val="E1028BC8"/>
    <w:lvl w:ilvl="0" w:tplc="40090019">
      <w:start w:val="1"/>
      <w:numFmt w:val="lowerLetter"/>
      <w:lvlText w:val="%1."/>
      <w:lvlJc w:val="left"/>
      <w:pPr>
        <w:ind w:left="578" w:hanging="360"/>
      </w:pPr>
    </w:lvl>
    <w:lvl w:ilvl="1" w:tplc="4009001B">
      <w:start w:val="1"/>
      <w:numFmt w:val="lowerRoman"/>
      <w:lvlText w:val="%2."/>
      <w:lvlJc w:val="righ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9">
    <w:nsid w:val="262230E5"/>
    <w:multiLevelType w:val="hybridMultilevel"/>
    <w:tmpl w:val="F1F4D3C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F79749C"/>
    <w:multiLevelType w:val="hybridMultilevel"/>
    <w:tmpl w:val="BDA26EAE"/>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214AFB"/>
    <w:multiLevelType w:val="hybridMultilevel"/>
    <w:tmpl w:val="680CEA16"/>
    <w:lvl w:ilvl="0" w:tplc="40090019">
      <w:start w:val="1"/>
      <w:numFmt w:val="lowerLetter"/>
      <w:lvlText w:val="%1."/>
      <w:lvlJc w:val="left"/>
      <w:pPr>
        <w:ind w:left="239" w:hanging="360"/>
      </w:pPr>
    </w:lvl>
    <w:lvl w:ilvl="1" w:tplc="FA763CEA">
      <w:start w:val="1"/>
      <w:numFmt w:val="lowerLetter"/>
      <w:lvlText w:val="%2)"/>
      <w:lvlJc w:val="left"/>
      <w:pPr>
        <w:ind w:left="959" w:hanging="360"/>
      </w:pPr>
      <w:rPr>
        <w:rFonts w:hint="default"/>
      </w:rPr>
    </w:lvl>
    <w:lvl w:ilvl="2" w:tplc="4009001B" w:tentative="1">
      <w:start w:val="1"/>
      <w:numFmt w:val="lowerRoman"/>
      <w:lvlText w:val="%3."/>
      <w:lvlJc w:val="right"/>
      <w:pPr>
        <w:ind w:left="1679" w:hanging="180"/>
      </w:pPr>
    </w:lvl>
    <w:lvl w:ilvl="3" w:tplc="4009000F" w:tentative="1">
      <w:start w:val="1"/>
      <w:numFmt w:val="decimal"/>
      <w:lvlText w:val="%4."/>
      <w:lvlJc w:val="left"/>
      <w:pPr>
        <w:ind w:left="2399" w:hanging="360"/>
      </w:pPr>
    </w:lvl>
    <w:lvl w:ilvl="4" w:tplc="40090019" w:tentative="1">
      <w:start w:val="1"/>
      <w:numFmt w:val="lowerLetter"/>
      <w:lvlText w:val="%5."/>
      <w:lvlJc w:val="left"/>
      <w:pPr>
        <w:ind w:left="3119" w:hanging="360"/>
      </w:pPr>
    </w:lvl>
    <w:lvl w:ilvl="5" w:tplc="4009001B" w:tentative="1">
      <w:start w:val="1"/>
      <w:numFmt w:val="lowerRoman"/>
      <w:lvlText w:val="%6."/>
      <w:lvlJc w:val="right"/>
      <w:pPr>
        <w:ind w:left="3839" w:hanging="180"/>
      </w:pPr>
    </w:lvl>
    <w:lvl w:ilvl="6" w:tplc="4009000F" w:tentative="1">
      <w:start w:val="1"/>
      <w:numFmt w:val="decimal"/>
      <w:lvlText w:val="%7."/>
      <w:lvlJc w:val="left"/>
      <w:pPr>
        <w:ind w:left="4559" w:hanging="360"/>
      </w:pPr>
    </w:lvl>
    <w:lvl w:ilvl="7" w:tplc="40090019" w:tentative="1">
      <w:start w:val="1"/>
      <w:numFmt w:val="lowerLetter"/>
      <w:lvlText w:val="%8."/>
      <w:lvlJc w:val="left"/>
      <w:pPr>
        <w:ind w:left="5279" w:hanging="360"/>
      </w:pPr>
    </w:lvl>
    <w:lvl w:ilvl="8" w:tplc="4009001B" w:tentative="1">
      <w:start w:val="1"/>
      <w:numFmt w:val="lowerRoman"/>
      <w:lvlText w:val="%9."/>
      <w:lvlJc w:val="right"/>
      <w:pPr>
        <w:ind w:left="5999" w:hanging="180"/>
      </w:pPr>
    </w:lvl>
  </w:abstractNum>
  <w:abstractNum w:abstractNumId="12">
    <w:nsid w:val="3478247C"/>
    <w:multiLevelType w:val="hybridMultilevel"/>
    <w:tmpl w:val="716CB27A"/>
    <w:lvl w:ilvl="0" w:tplc="DECAA41C">
      <w:start w:val="1"/>
      <w:numFmt w:val="lowerLetter"/>
      <w:lvlText w:val="%1)"/>
      <w:lvlJc w:val="left"/>
      <w:pPr>
        <w:ind w:left="-121" w:hanging="360"/>
      </w:pPr>
      <w:rPr>
        <w:rFonts w:hint="default"/>
      </w:rPr>
    </w:lvl>
    <w:lvl w:ilvl="1" w:tplc="40090019" w:tentative="1">
      <w:start w:val="1"/>
      <w:numFmt w:val="lowerLetter"/>
      <w:lvlText w:val="%2."/>
      <w:lvlJc w:val="left"/>
      <w:pPr>
        <w:ind w:left="599" w:hanging="360"/>
      </w:pPr>
    </w:lvl>
    <w:lvl w:ilvl="2" w:tplc="4009001B" w:tentative="1">
      <w:start w:val="1"/>
      <w:numFmt w:val="lowerRoman"/>
      <w:lvlText w:val="%3."/>
      <w:lvlJc w:val="right"/>
      <w:pPr>
        <w:ind w:left="1319" w:hanging="180"/>
      </w:pPr>
    </w:lvl>
    <w:lvl w:ilvl="3" w:tplc="4009000F" w:tentative="1">
      <w:start w:val="1"/>
      <w:numFmt w:val="decimal"/>
      <w:lvlText w:val="%4."/>
      <w:lvlJc w:val="left"/>
      <w:pPr>
        <w:ind w:left="2039" w:hanging="360"/>
      </w:pPr>
    </w:lvl>
    <w:lvl w:ilvl="4" w:tplc="40090019" w:tentative="1">
      <w:start w:val="1"/>
      <w:numFmt w:val="lowerLetter"/>
      <w:lvlText w:val="%5."/>
      <w:lvlJc w:val="left"/>
      <w:pPr>
        <w:ind w:left="2759" w:hanging="360"/>
      </w:pPr>
    </w:lvl>
    <w:lvl w:ilvl="5" w:tplc="4009001B" w:tentative="1">
      <w:start w:val="1"/>
      <w:numFmt w:val="lowerRoman"/>
      <w:lvlText w:val="%6."/>
      <w:lvlJc w:val="right"/>
      <w:pPr>
        <w:ind w:left="3479" w:hanging="180"/>
      </w:pPr>
    </w:lvl>
    <w:lvl w:ilvl="6" w:tplc="4009000F" w:tentative="1">
      <w:start w:val="1"/>
      <w:numFmt w:val="decimal"/>
      <w:lvlText w:val="%7."/>
      <w:lvlJc w:val="left"/>
      <w:pPr>
        <w:ind w:left="4199" w:hanging="360"/>
      </w:pPr>
    </w:lvl>
    <w:lvl w:ilvl="7" w:tplc="40090019" w:tentative="1">
      <w:start w:val="1"/>
      <w:numFmt w:val="lowerLetter"/>
      <w:lvlText w:val="%8."/>
      <w:lvlJc w:val="left"/>
      <w:pPr>
        <w:ind w:left="4919" w:hanging="360"/>
      </w:pPr>
    </w:lvl>
    <w:lvl w:ilvl="8" w:tplc="4009001B" w:tentative="1">
      <w:start w:val="1"/>
      <w:numFmt w:val="lowerRoman"/>
      <w:lvlText w:val="%9."/>
      <w:lvlJc w:val="right"/>
      <w:pPr>
        <w:ind w:left="5639" w:hanging="180"/>
      </w:pPr>
    </w:lvl>
  </w:abstractNum>
  <w:abstractNum w:abstractNumId="13">
    <w:nsid w:val="3C5A0759"/>
    <w:multiLevelType w:val="hybridMultilevel"/>
    <w:tmpl w:val="42C856E6"/>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4">
    <w:nsid w:val="48A354CC"/>
    <w:multiLevelType w:val="hybridMultilevel"/>
    <w:tmpl w:val="9B105A64"/>
    <w:lvl w:ilvl="0" w:tplc="40090001">
      <w:start w:val="1"/>
      <w:numFmt w:val="bullet"/>
      <w:lvlText w:val=""/>
      <w:lvlJc w:val="left"/>
      <w:pPr>
        <w:ind w:left="1140" w:hanging="360"/>
      </w:pPr>
      <w:rPr>
        <w:rFonts w:ascii="Symbol" w:hAnsi="Symbol"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15">
    <w:nsid w:val="50784BF5"/>
    <w:multiLevelType w:val="hybridMultilevel"/>
    <w:tmpl w:val="88325E2C"/>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B935B41"/>
    <w:multiLevelType w:val="hybridMultilevel"/>
    <w:tmpl w:val="2146FEAA"/>
    <w:lvl w:ilvl="0" w:tplc="40090019">
      <w:start w:val="1"/>
      <w:numFmt w:val="lowerLetter"/>
      <w:lvlText w:val="%1."/>
      <w:lvlJc w:val="left"/>
      <w:pPr>
        <w:ind w:left="578" w:hanging="360"/>
      </w:pPr>
    </w:lvl>
    <w:lvl w:ilvl="1" w:tplc="40090019">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7">
    <w:nsid w:val="5CDD4937"/>
    <w:multiLevelType w:val="hybridMultilevel"/>
    <w:tmpl w:val="127C73F8"/>
    <w:lvl w:ilvl="0" w:tplc="5404B782">
      <w:numFmt w:val="bullet"/>
      <w:lvlText w:val=""/>
      <w:lvlJc w:val="left"/>
      <w:pPr>
        <w:ind w:left="1119" w:hanging="339"/>
      </w:pPr>
      <w:rPr>
        <w:rFonts w:ascii="Symbol" w:eastAsia="Symbol" w:hAnsi="Symbol" w:cs="Symbol" w:hint="default"/>
        <w:w w:val="103"/>
        <w:sz w:val="20"/>
        <w:szCs w:val="20"/>
        <w:lang w:val="en-US" w:eastAsia="en-US" w:bidi="ar-SA"/>
      </w:rPr>
    </w:lvl>
    <w:lvl w:ilvl="1" w:tplc="AF106B5A">
      <w:numFmt w:val="bullet"/>
      <w:lvlText w:val="•"/>
      <w:lvlJc w:val="left"/>
      <w:pPr>
        <w:ind w:left="2040" w:hanging="339"/>
      </w:pPr>
      <w:rPr>
        <w:rFonts w:hint="default"/>
        <w:lang w:val="en-US" w:eastAsia="en-US" w:bidi="ar-SA"/>
      </w:rPr>
    </w:lvl>
    <w:lvl w:ilvl="2" w:tplc="BDB8EAC4">
      <w:numFmt w:val="bullet"/>
      <w:lvlText w:val="•"/>
      <w:lvlJc w:val="left"/>
      <w:pPr>
        <w:ind w:left="2960" w:hanging="339"/>
      </w:pPr>
      <w:rPr>
        <w:rFonts w:hint="default"/>
        <w:lang w:val="en-US" w:eastAsia="en-US" w:bidi="ar-SA"/>
      </w:rPr>
    </w:lvl>
    <w:lvl w:ilvl="3" w:tplc="F538E6D2">
      <w:numFmt w:val="bullet"/>
      <w:lvlText w:val="•"/>
      <w:lvlJc w:val="left"/>
      <w:pPr>
        <w:ind w:left="3880" w:hanging="339"/>
      </w:pPr>
      <w:rPr>
        <w:rFonts w:hint="default"/>
        <w:lang w:val="en-US" w:eastAsia="en-US" w:bidi="ar-SA"/>
      </w:rPr>
    </w:lvl>
    <w:lvl w:ilvl="4" w:tplc="A430650C">
      <w:numFmt w:val="bullet"/>
      <w:lvlText w:val="•"/>
      <w:lvlJc w:val="left"/>
      <w:pPr>
        <w:ind w:left="4800" w:hanging="339"/>
      </w:pPr>
      <w:rPr>
        <w:rFonts w:hint="default"/>
        <w:lang w:val="en-US" w:eastAsia="en-US" w:bidi="ar-SA"/>
      </w:rPr>
    </w:lvl>
    <w:lvl w:ilvl="5" w:tplc="E68ADD66">
      <w:numFmt w:val="bullet"/>
      <w:lvlText w:val="•"/>
      <w:lvlJc w:val="left"/>
      <w:pPr>
        <w:ind w:left="5720" w:hanging="339"/>
      </w:pPr>
      <w:rPr>
        <w:rFonts w:hint="default"/>
        <w:lang w:val="en-US" w:eastAsia="en-US" w:bidi="ar-SA"/>
      </w:rPr>
    </w:lvl>
    <w:lvl w:ilvl="6" w:tplc="4FEC6040">
      <w:numFmt w:val="bullet"/>
      <w:lvlText w:val="•"/>
      <w:lvlJc w:val="left"/>
      <w:pPr>
        <w:ind w:left="6640" w:hanging="339"/>
      </w:pPr>
      <w:rPr>
        <w:rFonts w:hint="default"/>
        <w:lang w:val="en-US" w:eastAsia="en-US" w:bidi="ar-SA"/>
      </w:rPr>
    </w:lvl>
    <w:lvl w:ilvl="7" w:tplc="CF78D296">
      <w:numFmt w:val="bullet"/>
      <w:lvlText w:val="•"/>
      <w:lvlJc w:val="left"/>
      <w:pPr>
        <w:ind w:left="7560" w:hanging="339"/>
      </w:pPr>
      <w:rPr>
        <w:rFonts w:hint="default"/>
        <w:lang w:val="en-US" w:eastAsia="en-US" w:bidi="ar-SA"/>
      </w:rPr>
    </w:lvl>
    <w:lvl w:ilvl="8" w:tplc="74E4D286">
      <w:numFmt w:val="bullet"/>
      <w:lvlText w:val="•"/>
      <w:lvlJc w:val="left"/>
      <w:pPr>
        <w:ind w:left="8480" w:hanging="339"/>
      </w:pPr>
      <w:rPr>
        <w:rFonts w:hint="default"/>
        <w:lang w:val="en-US" w:eastAsia="en-US" w:bidi="ar-SA"/>
      </w:rPr>
    </w:lvl>
  </w:abstractNum>
  <w:abstractNum w:abstractNumId="18">
    <w:nsid w:val="5E257790"/>
    <w:multiLevelType w:val="hybridMultilevel"/>
    <w:tmpl w:val="DE783E9E"/>
    <w:lvl w:ilvl="0" w:tplc="83C81CC6">
      <w:start w:val="1"/>
      <w:numFmt w:val="lowerLetter"/>
      <w:lvlText w:val="%1."/>
      <w:lvlJc w:val="left"/>
      <w:pPr>
        <w:ind w:left="578" w:hanging="360"/>
      </w:pPr>
      <w:rPr>
        <w:b w:val="0"/>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9">
    <w:nsid w:val="6C0A7D7A"/>
    <w:multiLevelType w:val="hybridMultilevel"/>
    <w:tmpl w:val="F118A9C4"/>
    <w:lvl w:ilvl="0" w:tplc="40090019">
      <w:start w:val="1"/>
      <w:numFmt w:val="lowerLetter"/>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20">
    <w:nsid w:val="77B06EFB"/>
    <w:multiLevelType w:val="hybridMultilevel"/>
    <w:tmpl w:val="D7F2EE64"/>
    <w:lvl w:ilvl="0" w:tplc="06289AB6">
      <w:start w:val="1"/>
      <w:numFmt w:val="lowerRoman"/>
      <w:lvlText w:val="%1."/>
      <w:lvlJc w:val="left"/>
      <w:pPr>
        <w:ind w:left="239" w:hanging="720"/>
      </w:pPr>
      <w:rPr>
        <w:rFonts w:hint="default"/>
      </w:rPr>
    </w:lvl>
    <w:lvl w:ilvl="1" w:tplc="40090019" w:tentative="1">
      <w:start w:val="1"/>
      <w:numFmt w:val="lowerLetter"/>
      <w:lvlText w:val="%2."/>
      <w:lvlJc w:val="left"/>
      <w:pPr>
        <w:ind w:left="599" w:hanging="360"/>
      </w:pPr>
    </w:lvl>
    <w:lvl w:ilvl="2" w:tplc="4009001B" w:tentative="1">
      <w:start w:val="1"/>
      <w:numFmt w:val="lowerRoman"/>
      <w:lvlText w:val="%3."/>
      <w:lvlJc w:val="right"/>
      <w:pPr>
        <w:ind w:left="1319" w:hanging="180"/>
      </w:pPr>
    </w:lvl>
    <w:lvl w:ilvl="3" w:tplc="4009000F" w:tentative="1">
      <w:start w:val="1"/>
      <w:numFmt w:val="decimal"/>
      <w:lvlText w:val="%4."/>
      <w:lvlJc w:val="left"/>
      <w:pPr>
        <w:ind w:left="2039" w:hanging="360"/>
      </w:pPr>
    </w:lvl>
    <w:lvl w:ilvl="4" w:tplc="40090019" w:tentative="1">
      <w:start w:val="1"/>
      <w:numFmt w:val="lowerLetter"/>
      <w:lvlText w:val="%5."/>
      <w:lvlJc w:val="left"/>
      <w:pPr>
        <w:ind w:left="2759" w:hanging="360"/>
      </w:pPr>
    </w:lvl>
    <w:lvl w:ilvl="5" w:tplc="4009001B" w:tentative="1">
      <w:start w:val="1"/>
      <w:numFmt w:val="lowerRoman"/>
      <w:lvlText w:val="%6."/>
      <w:lvlJc w:val="right"/>
      <w:pPr>
        <w:ind w:left="3479" w:hanging="180"/>
      </w:pPr>
    </w:lvl>
    <w:lvl w:ilvl="6" w:tplc="4009000F" w:tentative="1">
      <w:start w:val="1"/>
      <w:numFmt w:val="decimal"/>
      <w:lvlText w:val="%7."/>
      <w:lvlJc w:val="left"/>
      <w:pPr>
        <w:ind w:left="4199" w:hanging="360"/>
      </w:pPr>
    </w:lvl>
    <w:lvl w:ilvl="7" w:tplc="40090019" w:tentative="1">
      <w:start w:val="1"/>
      <w:numFmt w:val="lowerLetter"/>
      <w:lvlText w:val="%8."/>
      <w:lvlJc w:val="left"/>
      <w:pPr>
        <w:ind w:left="4919" w:hanging="360"/>
      </w:pPr>
    </w:lvl>
    <w:lvl w:ilvl="8" w:tplc="4009001B" w:tentative="1">
      <w:start w:val="1"/>
      <w:numFmt w:val="lowerRoman"/>
      <w:lvlText w:val="%9."/>
      <w:lvlJc w:val="right"/>
      <w:pPr>
        <w:ind w:left="5639" w:hanging="180"/>
      </w:pPr>
    </w:lvl>
  </w:abstractNum>
  <w:abstractNum w:abstractNumId="21">
    <w:nsid w:val="7D6B3742"/>
    <w:multiLevelType w:val="hybridMultilevel"/>
    <w:tmpl w:val="48C2B35A"/>
    <w:lvl w:ilvl="0" w:tplc="40090019">
      <w:start w:val="1"/>
      <w:numFmt w:val="lowerLetter"/>
      <w:lvlText w:val="%1."/>
      <w:lvlJc w:val="left"/>
      <w:pPr>
        <w:ind w:left="-121" w:hanging="360"/>
      </w:pPr>
      <w:rPr>
        <w:rFonts w:hint="default"/>
      </w:rPr>
    </w:lvl>
    <w:lvl w:ilvl="1" w:tplc="40090019" w:tentative="1">
      <w:start w:val="1"/>
      <w:numFmt w:val="lowerLetter"/>
      <w:lvlText w:val="%2."/>
      <w:lvlJc w:val="left"/>
      <w:pPr>
        <w:ind w:left="599" w:hanging="360"/>
      </w:pPr>
    </w:lvl>
    <w:lvl w:ilvl="2" w:tplc="4009001B" w:tentative="1">
      <w:start w:val="1"/>
      <w:numFmt w:val="lowerRoman"/>
      <w:lvlText w:val="%3."/>
      <w:lvlJc w:val="right"/>
      <w:pPr>
        <w:ind w:left="1319" w:hanging="180"/>
      </w:pPr>
    </w:lvl>
    <w:lvl w:ilvl="3" w:tplc="4009000F" w:tentative="1">
      <w:start w:val="1"/>
      <w:numFmt w:val="decimal"/>
      <w:lvlText w:val="%4."/>
      <w:lvlJc w:val="left"/>
      <w:pPr>
        <w:ind w:left="2039" w:hanging="360"/>
      </w:pPr>
    </w:lvl>
    <w:lvl w:ilvl="4" w:tplc="40090019" w:tentative="1">
      <w:start w:val="1"/>
      <w:numFmt w:val="lowerLetter"/>
      <w:lvlText w:val="%5."/>
      <w:lvlJc w:val="left"/>
      <w:pPr>
        <w:ind w:left="2759" w:hanging="360"/>
      </w:pPr>
    </w:lvl>
    <w:lvl w:ilvl="5" w:tplc="4009001B" w:tentative="1">
      <w:start w:val="1"/>
      <w:numFmt w:val="lowerRoman"/>
      <w:lvlText w:val="%6."/>
      <w:lvlJc w:val="right"/>
      <w:pPr>
        <w:ind w:left="3479" w:hanging="180"/>
      </w:pPr>
    </w:lvl>
    <w:lvl w:ilvl="6" w:tplc="4009000F" w:tentative="1">
      <w:start w:val="1"/>
      <w:numFmt w:val="decimal"/>
      <w:lvlText w:val="%7."/>
      <w:lvlJc w:val="left"/>
      <w:pPr>
        <w:ind w:left="4199" w:hanging="360"/>
      </w:pPr>
    </w:lvl>
    <w:lvl w:ilvl="7" w:tplc="40090019" w:tentative="1">
      <w:start w:val="1"/>
      <w:numFmt w:val="lowerLetter"/>
      <w:lvlText w:val="%8."/>
      <w:lvlJc w:val="left"/>
      <w:pPr>
        <w:ind w:left="4919" w:hanging="360"/>
      </w:pPr>
    </w:lvl>
    <w:lvl w:ilvl="8" w:tplc="4009001B" w:tentative="1">
      <w:start w:val="1"/>
      <w:numFmt w:val="lowerRoman"/>
      <w:lvlText w:val="%9."/>
      <w:lvlJc w:val="right"/>
      <w:pPr>
        <w:ind w:left="5639" w:hanging="180"/>
      </w:pPr>
    </w:lvl>
  </w:abstractNum>
  <w:abstractNum w:abstractNumId="22">
    <w:nsid w:val="7F5D772E"/>
    <w:multiLevelType w:val="hybridMultilevel"/>
    <w:tmpl w:val="FE385D16"/>
    <w:lvl w:ilvl="0" w:tplc="40090017">
      <w:start w:val="1"/>
      <w:numFmt w:val="lowerLetter"/>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14"/>
  </w:num>
  <w:num w:numId="5">
    <w:abstractNumId w:val="2"/>
  </w:num>
  <w:num w:numId="6">
    <w:abstractNumId w:val="9"/>
  </w:num>
  <w:num w:numId="7">
    <w:abstractNumId w:val="22"/>
  </w:num>
  <w:num w:numId="8">
    <w:abstractNumId w:val="15"/>
  </w:num>
  <w:num w:numId="9">
    <w:abstractNumId w:val="10"/>
  </w:num>
  <w:num w:numId="10">
    <w:abstractNumId w:val="8"/>
  </w:num>
  <w:num w:numId="11">
    <w:abstractNumId w:val="19"/>
  </w:num>
  <w:num w:numId="12">
    <w:abstractNumId w:val="6"/>
  </w:num>
  <w:num w:numId="13">
    <w:abstractNumId w:val="11"/>
  </w:num>
  <w:num w:numId="14">
    <w:abstractNumId w:val="20"/>
  </w:num>
  <w:num w:numId="15">
    <w:abstractNumId w:val="7"/>
  </w:num>
  <w:num w:numId="16">
    <w:abstractNumId w:val="12"/>
  </w:num>
  <w:num w:numId="17">
    <w:abstractNumId w:val="21"/>
  </w:num>
  <w:num w:numId="18">
    <w:abstractNumId w:val="0"/>
  </w:num>
  <w:num w:numId="19">
    <w:abstractNumId w:val="13"/>
  </w:num>
  <w:num w:numId="20">
    <w:abstractNumId w:val="16"/>
  </w:num>
  <w:num w:numId="21">
    <w:abstractNumId w:val="18"/>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12E84"/>
    <w:rsid w:val="000122CD"/>
    <w:rsid w:val="00027524"/>
    <w:rsid w:val="00043545"/>
    <w:rsid w:val="00043CCE"/>
    <w:rsid w:val="00044D29"/>
    <w:rsid w:val="0005648B"/>
    <w:rsid w:val="000638BD"/>
    <w:rsid w:val="00065763"/>
    <w:rsid w:val="00065BB3"/>
    <w:rsid w:val="0007219B"/>
    <w:rsid w:val="000A7436"/>
    <w:rsid w:val="000B72F3"/>
    <w:rsid w:val="000F3203"/>
    <w:rsid w:val="00101794"/>
    <w:rsid w:val="00103247"/>
    <w:rsid w:val="001266AB"/>
    <w:rsid w:val="00130C21"/>
    <w:rsid w:val="00133923"/>
    <w:rsid w:val="00152720"/>
    <w:rsid w:val="001530B1"/>
    <w:rsid w:val="00167624"/>
    <w:rsid w:val="00196D53"/>
    <w:rsid w:val="001A5A1F"/>
    <w:rsid w:val="001D09F8"/>
    <w:rsid w:val="001D3DE5"/>
    <w:rsid w:val="001F0E4D"/>
    <w:rsid w:val="001F7E61"/>
    <w:rsid w:val="00214917"/>
    <w:rsid w:val="00237004"/>
    <w:rsid w:val="002418E6"/>
    <w:rsid w:val="00247512"/>
    <w:rsid w:val="00267095"/>
    <w:rsid w:val="002A573E"/>
    <w:rsid w:val="002D0214"/>
    <w:rsid w:val="002E0A6C"/>
    <w:rsid w:val="00301121"/>
    <w:rsid w:val="003708E8"/>
    <w:rsid w:val="00377929"/>
    <w:rsid w:val="003A1941"/>
    <w:rsid w:val="003A5AFD"/>
    <w:rsid w:val="003B2E62"/>
    <w:rsid w:val="003E1BD3"/>
    <w:rsid w:val="003E34A6"/>
    <w:rsid w:val="003F2D41"/>
    <w:rsid w:val="00410C2F"/>
    <w:rsid w:val="00414382"/>
    <w:rsid w:val="00427FBF"/>
    <w:rsid w:val="00435176"/>
    <w:rsid w:val="00444E58"/>
    <w:rsid w:val="004505C1"/>
    <w:rsid w:val="00466BAE"/>
    <w:rsid w:val="004A1E53"/>
    <w:rsid w:val="004A658C"/>
    <w:rsid w:val="004B1CC9"/>
    <w:rsid w:val="004C5B8D"/>
    <w:rsid w:val="004C6DB4"/>
    <w:rsid w:val="00505A85"/>
    <w:rsid w:val="0051096C"/>
    <w:rsid w:val="00532761"/>
    <w:rsid w:val="00557E96"/>
    <w:rsid w:val="00574565"/>
    <w:rsid w:val="00585021"/>
    <w:rsid w:val="005928B3"/>
    <w:rsid w:val="00593F57"/>
    <w:rsid w:val="005A096D"/>
    <w:rsid w:val="005A414C"/>
    <w:rsid w:val="005A6580"/>
    <w:rsid w:val="005B57A4"/>
    <w:rsid w:val="005C4148"/>
    <w:rsid w:val="005D41B9"/>
    <w:rsid w:val="005D66AA"/>
    <w:rsid w:val="005E43B9"/>
    <w:rsid w:val="0060493E"/>
    <w:rsid w:val="00604B8A"/>
    <w:rsid w:val="00623133"/>
    <w:rsid w:val="00626C61"/>
    <w:rsid w:val="00644270"/>
    <w:rsid w:val="006803F5"/>
    <w:rsid w:val="00683CE4"/>
    <w:rsid w:val="006E2345"/>
    <w:rsid w:val="007013C8"/>
    <w:rsid w:val="00723DAC"/>
    <w:rsid w:val="00756CFA"/>
    <w:rsid w:val="007614EB"/>
    <w:rsid w:val="00763085"/>
    <w:rsid w:val="007A63BE"/>
    <w:rsid w:val="007D378E"/>
    <w:rsid w:val="007E0DB0"/>
    <w:rsid w:val="00823890"/>
    <w:rsid w:val="00862BA7"/>
    <w:rsid w:val="00865B7C"/>
    <w:rsid w:val="00885C24"/>
    <w:rsid w:val="008A6E6D"/>
    <w:rsid w:val="008B486D"/>
    <w:rsid w:val="008B6B9D"/>
    <w:rsid w:val="008B70F7"/>
    <w:rsid w:val="008C0178"/>
    <w:rsid w:val="008C2B0A"/>
    <w:rsid w:val="008C5AF5"/>
    <w:rsid w:val="008E13E6"/>
    <w:rsid w:val="008E3117"/>
    <w:rsid w:val="008F0CAB"/>
    <w:rsid w:val="009149E3"/>
    <w:rsid w:val="00943BC6"/>
    <w:rsid w:val="00960EA3"/>
    <w:rsid w:val="009628A9"/>
    <w:rsid w:val="009964C1"/>
    <w:rsid w:val="009A7B95"/>
    <w:rsid w:val="009B6272"/>
    <w:rsid w:val="009C6143"/>
    <w:rsid w:val="009D4FCE"/>
    <w:rsid w:val="009F4B82"/>
    <w:rsid w:val="00A14045"/>
    <w:rsid w:val="00A14333"/>
    <w:rsid w:val="00A67BF9"/>
    <w:rsid w:val="00A80B8E"/>
    <w:rsid w:val="00AA203D"/>
    <w:rsid w:val="00AB1EE6"/>
    <w:rsid w:val="00AC20A8"/>
    <w:rsid w:val="00AE5545"/>
    <w:rsid w:val="00AF407D"/>
    <w:rsid w:val="00AF7889"/>
    <w:rsid w:val="00B07400"/>
    <w:rsid w:val="00B40473"/>
    <w:rsid w:val="00B411AD"/>
    <w:rsid w:val="00B616C7"/>
    <w:rsid w:val="00B74CB5"/>
    <w:rsid w:val="00BB0334"/>
    <w:rsid w:val="00BB3B71"/>
    <w:rsid w:val="00BE0786"/>
    <w:rsid w:val="00BE6DA2"/>
    <w:rsid w:val="00BF7659"/>
    <w:rsid w:val="00C02C9E"/>
    <w:rsid w:val="00C1467C"/>
    <w:rsid w:val="00C258FE"/>
    <w:rsid w:val="00C36111"/>
    <w:rsid w:val="00C54BA9"/>
    <w:rsid w:val="00C54EA2"/>
    <w:rsid w:val="00C82A2B"/>
    <w:rsid w:val="00C94FB6"/>
    <w:rsid w:val="00C9584D"/>
    <w:rsid w:val="00CD3BD4"/>
    <w:rsid w:val="00CE19D1"/>
    <w:rsid w:val="00CE7862"/>
    <w:rsid w:val="00CF00A8"/>
    <w:rsid w:val="00D0619D"/>
    <w:rsid w:val="00D12E84"/>
    <w:rsid w:val="00D21FB5"/>
    <w:rsid w:val="00D51343"/>
    <w:rsid w:val="00D54D13"/>
    <w:rsid w:val="00DA3811"/>
    <w:rsid w:val="00DA4685"/>
    <w:rsid w:val="00DB53E8"/>
    <w:rsid w:val="00DB620C"/>
    <w:rsid w:val="00DD0BCA"/>
    <w:rsid w:val="00E00E00"/>
    <w:rsid w:val="00E146FC"/>
    <w:rsid w:val="00E2784C"/>
    <w:rsid w:val="00E2794C"/>
    <w:rsid w:val="00E32F94"/>
    <w:rsid w:val="00E42F9C"/>
    <w:rsid w:val="00E46BBA"/>
    <w:rsid w:val="00E50A3E"/>
    <w:rsid w:val="00E50D7A"/>
    <w:rsid w:val="00E536EE"/>
    <w:rsid w:val="00E64A26"/>
    <w:rsid w:val="00EC77BE"/>
    <w:rsid w:val="00EE0F4C"/>
    <w:rsid w:val="00EE7260"/>
    <w:rsid w:val="00EF090B"/>
    <w:rsid w:val="00EF2330"/>
    <w:rsid w:val="00EF5517"/>
    <w:rsid w:val="00F17CC6"/>
    <w:rsid w:val="00F25A20"/>
    <w:rsid w:val="00F40B67"/>
    <w:rsid w:val="00F73CE4"/>
    <w:rsid w:val="00F90F5A"/>
    <w:rsid w:val="00FB3BD0"/>
    <w:rsid w:val="00FB5B31"/>
    <w:rsid w:val="00FD0F48"/>
    <w:rsid w:val="00FE578E"/>
    <w:rsid w:val="00FE5A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4473"/>
  <w15:docId w15:val="{A085FC26-4BF6-4CBD-AF9A-4043D46B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2A2B"/>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
    <w:qFormat/>
    <w:rsid w:val="008F0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1"/>
    <w:qFormat/>
    <w:rsid w:val="00C82A2B"/>
    <w:pPr>
      <w:ind w:left="780" w:hanging="34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C82A2B"/>
    <w:rPr>
      <w:rFonts w:ascii="Carlito" w:eastAsia="Carlito" w:hAnsi="Carlito" w:cs="Carlito"/>
      <w:b/>
      <w:bCs/>
      <w:sz w:val="20"/>
      <w:szCs w:val="20"/>
      <w:lang w:val="en-US"/>
    </w:rPr>
  </w:style>
  <w:style w:type="paragraph" w:styleId="BodyText">
    <w:name w:val="Body Text"/>
    <w:basedOn w:val="Normal"/>
    <w:link w:val="BodyTextChar"/>
    <w:uiPriority w:val="1"/>
    <w:qFormat/>
    <w:rsid w:val="00C82A2B"/>
    <w:rPr>
      <w:sz w:val="20"/>
      <w:szCs w:val="20"/>
    </w:rPr>
  </w:style>
  <w:style w:type="character" w:customStyle="1" w:styleId="BodyTextChar">
    <w:name w:val="Body Text Char"/>
    <w:basedOn w:val="DefaultParagraphFont"/>
    <w:link w:val="BodyText"/>
    <w:uiPriority w:val="1"/>
    <w:rsid w:val="00C82A2B"/>
    <w:rPr>
      <w:rFonts w:ascii="Carlito" w:eastAsia="Carlito" w:hAnsi="Carlito" w:cs="Carlito"/>
      <w:sz w:val="20"/>
      <w:szCs w:val="20"/>
      <w:lang w:val="en-US"/>
    </w:rPr>
  </w:style>
  <w:style w:type="paragraph" w:styleId="ListParagraph">
    <w:name w:val="List Paragraph"/>
    <w:basedOn w:val="Normal"/>
    <w:uiPriority w:val="1"/>
    <w:qFormat/>
    <w:rsid w:val="00C82A2B"/>
    <w:pPr>
      <w:ind w:left="1119" w:hanging="339"/>
    </w:pPr>
  </w:style>
  <w:style w:type="paragraph" w:styleId="Header">
    <w:name w:val="header"/>
    <w:basedOn w:val="Normal"/>
    <w:link w:val="HeaderChar"/>
    <w:uiPriority w:val="99"/>
    <w:unhideWhenUsed/>
    <w:rsid w:val="00C82A2B"/>
    <w:pPr>
      <w:tabs>
        <w:tab w:val="center" w:pos="4513"/>
        <w:tab w:val="right" w:pos="9026"/>
      </w:tabs>
    </w:pPr>
  </w:style>
  <w:style w:type="character" w:customStyle="1" w:styleId="HeaderChar">
    <w:name w:val="Header Char"/>
    <w:basedOn w:val="DefaultParagraphFont"/>
    <w:link w:val="Header"/>
    <w:uiPriority w:val="99"/>
    <w:rsid w:val="00C82A2B"/>
    <w:rPr>
      <w:rFonts w:ascii="Carlito" w:eastAsia="Carlito" w:hAnsi="Carlito" w:cs="Carlito"/>
      <w:lang w:val="en-US"/>
    </w:rPr>
  </w:style>
  <w:style w:type="character" w:styleId="Hyperlink">
    <w:name w:val="Hyperlink"/>
    <w:basedOn w:val="DefaultParagraphFont"/>
    <w:uiPriority w:val="99"/>
    <w:unhideWhenUsed/>
    <w:rsid w:val="00C82A2B"/>
    <w:rPr>
      <w:color w:val="0000FF" w:themeColor="hyperlink"/>
      <w:u w:val="single"/>
    </w:rPr>
  </w:style>
  <w:style w:type="paragraph" w:styleId="BalloonText">
    <w:name w:val="Balloon Text"/>
    <w:basedOn w:val="Normal"/>
    <w:link w:val="BalloonTextChar"/>
    <w:uiPriority w:val="99"/>
    <w:semiHidden/>
    <w:unhideWhenUsed/>
    <w:rsid w:val="00C82A2B"/>
    <w:rPr>
      <w:rFonts w:ascii="Tahoma" w:hAnsi="Tahoma" w:cs="Tahoma"/>
      <w:sz w:val="16"/>
      <w:szCs w:val="16"/>
    </w:rPr>
  </w:style>
  <w:style w:type="character" w:customStyle="1" w:styleId="BalloonTextChar">
    <w:name w:val="Balloon Text Char"/>
    <w:basedOn w:val="DefaultParagraphFont"/>
    <w:link w:val="BalloonText"/>
    <w:uiPriority w:val="99"/>
    <w:semiHidden/>
    <w:rsid w:val="00C82A2B"/>
    <w:rPr>
      <w:rFonts w:ascii="Tahoma" w:eastAsia="Carlito" w:hAnsi="Tahoma" w:cs="Tahoma"/>
      <w:sz w:val="16"/>
      <w:szCs w:val="16"/>
      <w:lang w:val="en-US"/>
    </w:rPr>
  </w:style>
  <w:style w:type="paragraph" w:styleId="Footer">
    <w:name w:val="footer"/>
    <w:basedOn w:val="Normal"/>
    <w:link w:val="FooterChar"/>
    <w:uiPriority w:val="99"/>
    <w:unhideWhenUsed/>
    <w:rsid w:val="003708E8"/>
    <w:pPr>
      <w:tabs>
        <w:tab w:val="center" w:pos="4513"/>
        <w:tab w:val="right" w:pos="9026"/>
      </w:tabs>
    </w:pPr>
  </w:style>
  <w:style w:type="character" w:customStyle="1" w:styleId="FooterChar">
    <w:name w:val="Footer Char"/>
    <w:basedOn w:val="DefaultParagraphFont"/>
    <w:link w:val="Footer"/>
    <w:uiPriority w:val="99"/>
    <w:rsid w:val="003708E8"/>
    <w:rPr>
      <w:rFonts w:ascii="Carlito" w:eastAsia="Carlito" w:hAnsi="Carlito" w:cs="Carlito"/>
      <w:lang w:val="en-US"/>
    </w:rPr>
  </w:style>
  <w:style w:type="paragraph" w:customStyle="1" w:styleId="NoSpacing1">
    <w:name w:val="No Spacing1"/>
    <w:uiPriority w:val="1"/>
    <w:qFormat/>
    <w:rsid w:val="008C0178"/>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8C0178"/>
    <w:rPr>
      <w:sz w:val="16"/>
      <w:szCs w:val="16"/>
    </w:rPr>
  </w:style>
  <w:style w:type="paragraph" w:styleId="CommentText">
    <w:name w:val="annotation text"/>
    <w:basedOn w:val="Normal"/>
    <w:link w:val="CommentTextChar"/>
    <w:uiPriority w:val="99"/>
    <w:semiHidden/>
    <w:unhideWhenUsed/>
    <w:rsid w:val="008C0178"/>
    <w:rPr>
      <w:sz w:val="20"/>
      <w:szCs w:val="20"/>
    </w:rPr>
  </w:style>
  <w:style w:type="character" w:customStyle="1" w:styleId="CommentTextChar">
    <w:name w:val="Comment Text Char"/>
    <w:basedOn w:val="DefaultParagraphFont"/>
    <w:link w:val="CommentText"/>
    <w:uiPriority w:val="99"/>
    <w:semiHidden/>
    <w:rsid w:val="008C0178"/>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8C0178"/>
    <w:rPr>
      <w:b/>
      <w:bCs/>
    </w:rPr>
  </w:style>
  <w:style w:type="character" w:customStyle="1" w:styleId="CommentSubjectChar">
    <w:name w:val="Comment Subject Char"/>
    <w:basedOn w:val="CommentTextChar"/>
    <w:link w:val="CommentSubject"/>
    <w:uiPriority w:val="99"/>
    <w:semiHidden/>
    <w:rsid w:val="008C0178"/>
    <w:rPr>
      <w:rFonts w:ascii="Carlito" w:eastAsia="Carlito" w:hAnsi="Carlito" w:cs="Carlito"/>
      <w:b/>
      <w:bCs/>
      <w:sz w:val="20"/>
      <w:szCs w:val="20"/>
      <w:lang w:val="en-US"/>
    </w:rPr>
  </w:style>
  <w:style w:type="character" w:customStyle="1" w:styleId="Heading1Char">
    <w:name w:val="Heading 1 Char"/>
    <w:basedOn w:val="DefaultParagraphFont"/>
    <w:link w:val="Heading1"/>
    <w:uiPriority w:val="9"/>
    <w:rsid w:val="008F0CAB"/>
    <w:rPr>
      <w:rFonts w:asciiTheme="majorHAnsi" w:eastAsiaTheme="majorEastAsia" w:hAnsiTheme="majorHAnsi" w:cstheme="majorBidi"/>
      <w:color w:val="365F91" w:themeColor="accent1" w:themeShade="BF"/>
      <w:sz w:val="32"/>
      <w:szCs w:val="32"/>
      <w:lang w:val="en-US"/>
    </w:rPr>
  </w:style>
  <w:style w:type="character" w:customStyle="1" w:styleId="UnresolvedMention">
    <w:name w:val="Unresolved Mention"/>
    <w:basedOn w:val="DefaultParagraphFont"/>
    <w:uiPriority w:val="99"/>
    <w:semiHidden/>
    <w:unhideWhenUsed/>
    <w:rsid w:val="00301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1847">
      <w:bodyDiv w:val="1"/>
      <w:marLeft w:val="0"/>
      <w:marRight w:val="0"/>
      <w:marTop w:val="0"/>
      <w:marBottom w:val="0"/>
      <w:divBdr>
        <w:top w:val="none" w:sz="0" w:space="0" w:color="auto"/>
        <w:left w:val="none" w:sz="0" w:space="0" w:color="auto"/>
        <w:bottom w:val="none" w:sz="0" w:space="0" w:color="auto"/>
        <w:right w:val="none" w:sz="0" w:space="0" w:color="auto"/>
      </w:divBdr>
    </w:div>
    <w:div w:id="255208693">
      <w:bodyDiv w:val="1"/>
      <w:marLeft w:val="0"/>
      <w:marRight w:val="0"/>
      <w:marTop w:val="0"/>
      <w:marBottom w:val="0"/>
      <w:divBdr>
        <w:top w:val="none" w:sz="0" w:space="0" w:color="auto"/>
        <w:left w:val="none" w:sz="0" w:space="0" w:color="auto"/>
        <w:bottom w:val="none" w:sz="0" w:space="0" w:color="auto"/>
        <w:right w:val="none" w:sz="0" w:space="0" w:color="auto"/>
      </w:divBdr>
    </w:div>
    <w:div w:id="3609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kakajipolyme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6</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Sohan kumawat</dc:creator>
  <cp:keywords/>
  <dc:description/>
  <cp:lastModifiedBy>baikakaji</cp:lastModifiedBy>
  <cp:revision>248</cp:revision>
  <dcterms:created xsi:type="dcterms:W3CDTF">2021-05-08T07:24:00Z</dcterms:created>
  <dcterms:modified xsi:type="dcterms:W3CDTF">2025-05-27T05:48:00Z</dcterms:modified>
</cp:coreProperties>
</file>